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41C" w:rsidRDefault="0005441C" w:rsidP="0092587B">
      <w:pPr>
        <w:jc w:val="cente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316F37" w:rsidRDefault="00316F37">
      <w:pPr>
        <w:rPr>
          <w:b/>
        </w:rPr>
      </w:pPr>
    </w:p>
    <w:p w:rsidR="0005441C" w:rsidRDefault="0005441C">
      <w:pPr>
        <w:rPr>
          <w:b/>
        </w:rPr>
      </w:pPr>
    </w:p>
    <w:p w:rsidR="0005441C" w:rsidRPr="00316F37" w:rsidRDefault="0005441C" w:rsidP="0005441C">
      <w:pPr>
        <w:jc w:val="center"/>
        <w:rPr>
          <w:rFonts w:ascii="Times New Roman" w:hAnsi="Times New Roman" w:cs="Times New Roman"/>
          <w:sz w:val="24"/>
          <w:szCs w:val="24"/>
        </w:rPr>
      </w:pPr>
      <w:r w:rsidRPr="00316F37">
        <w:rPr>
          <w:rFonts w:ascii="Times New Roman" w:hAnsi="Times New Roman" w:cs="Times New Roman"/>
          <w:sz w:val="24"/>
          <w:szCs w:val="24"/>
        </w:rPr>
        <w:t>Critical Thinking One: Option #1</w:t>
      </w:r>
    </w:p>
    <w:p w:rsidR="0005441C" w:rsidRPr="00316F37" w:rsidRDefault="00316F37" w:rsidP="0005441C">
      <w:pPr>
        <w:jc w:val="center"/>
        <w:rPr>
          <w:rFonts w:ascii="Times New Roman" w:hAnsi="Times New Roman" w:cs="Times New Roman"/>
          <w:sz w:val="24"/>
          <w:szCs w:val="24"/>
        </w:rPr>
      </w:pPr>
      <w:r w:rsidRPr="00316F37">
        <w:rPr>
          <w:rFonts w:ascii="Times New Roman" w:hAnsi="Times New Roman" w:cs="Times New Roman"/>
          <w:sz w:val="24"/>
          <w:szCs w:val="24"/>
        </w:rPr>
        <w:t>Hans Hinnershitz</w:t>
      </w:r>
    </w:p>
    <w:p w:rsidR="00316F37" w:rsidRPr="00316F37" w:rsidRDefault="00316F37" w:rsidP="0005441C">
      <w:pPr>
        <w:jc w:val="center"/>
        <w:rPr>
          <w:rFonts w:ascii="Times New Roman" w:hAnsi="Times New Roman" w:cs="Times New Roman"/>
          <w:sz w:val="24"/>
          <w:szCs w:val="24"/>
        </w:rPr>
      </w:pPr>
      <w:r w:rsidRPr="00316F37">
        <w:rPr>
          <w:rFonts w:ascii="Times New Roman" w:hAnsi="Times New Roman" w:cs="Times New Roman"/>
          <w:sz w:val="24"/>
          <w:szCs w:val="24"/>
        </w:rPr>
        <w:t>Colorado State University – Global Campus</w:t>
      </w: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5441C" w:rsidRDefault="0005441C">
      <w:pPr>
        <w:rPr>
          <w:b/>
        </w:rPr>
      </w:pPr>
    </w:p>
    <w:p w:rsidR="00036B80" w:rsidRDefault="00036B80" w:rsidP="0092587B">
      <w:pPr>
        <w:jc w:val="center"/>
        <w:rPr>
          <w:b/>
        </w:rPr>
      </w:pPr>
    </w:p>
    <w:tbl>
      <w:tblPr>
        <w:tblW w:w="7937" w:type="dxa"/>
        <w:tblInd w:w="93" w:type="dxa"/>
        <w:tblLook w:val="04A0" w:firstRow="1" w:lastRow="0" w:firstColumn="1" w:lastColumn="0" w:noHBand="0" w:noVBand="1"/>
      </w:tblPr>
      <w:tblGrid>
        <w:gridCol w:w="3000"/>
        <w:gridCol w:w="276"/>
        <w:gridCol w:w="276"/>
        <w:gridCol w:w="1889"/>
        <w:gridCol w:w="1645"/>
        <w:gridCol w:w="1116"/>
      </w:tblGrid>
      <w:tr w:rsidR="00277A1A" w:rsidRPr="00277A1A" w:rsidTr="00277A1A">
        <w:trPr>
          <w:trHeight w:val="315"/>
        </w:trPr>
        <w:tc>
          <w:tcPr>
            <w:tcW w:w="3000" w:type="dxa"/>
            <w:vMerge w:val="restart"/>
            <w:tcBorders>
              <w:top w:val="single" w:sz="4" w:space="0" w:color="auto"/>
              <w:left w:val="single" w:sz="4" w:space="0" w:color="auto"/>
              <w:bottom w:val="nil"/>
              <w:right w:val="nil"/>
            </w:tcBorders>
            <w:shd w:val="clear" w:color="auto" w:fill="auto"/>
            <w:noWrap/>
            <w:vAlign w:val="center"/>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lastRenderedPageBreak/>
              <w:t>Current Operating Assets</w:t>
            </w:r>
          </w:p>
        </w:tc>
        <w:tc>
          <w:tcPr>
            <w:tcW w:w="3900" w:type="dxa"/>
            <w:gridSpan w:val="4"/>
            <w:tcBorders>
              <w:top w:val="single" w:sz="4" w:space="0" w:color="auto"/>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Cash and cash equivalents</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$47,250</w:t>
            </w:r>
          </w:p>
        </w:tc>
      </w:tr>
      <w:tr w:rsidR="00277A1A" w:rsidRPr="00277A1A" w:rsidTr="00277A1A">
        <w:trPr>
          <w:trHeight w:val="315"/>
        </w:trPr>
        <w:tc>
          <w:tcPr>
            <w:tcW w:w="3000" w:type="dxa"/>
            <w:vMerge/>
            <w:tcBorders>
              <w:top w:val="single" w:sz="4" w:space="0" w:color="auto"/>
              <w:left w:val="single" w:sz="4" w:space="0" w:color="auto"/>
              <w:bottom w:val="nil"/>
              <w:right w:val="nil"/>
            </w:tcBorders>
            <w:vAlign w:val="center"/>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3900" w:type="dxa"/>
            <w:gridSpan w:val="4"/>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Accounts Receivable</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283,500</w:t>
            </w:r>
          </w:p>
        </w:tc>
      </w:tr>
      <w:tr w:rsidR="00277A1A" w:rsidRPr="00277A1A" w:rsidTr="00277A1A">
        <w:trPr>
          <w:trHeight w:val="315"/>
        </w:trPr>
        <w:tc>
          <w:tcPr>
            <w:tcW w:w="3000" w:type="dxa"/>
            <w:vMerge/>
            <w:tcBorders>
              <w:top w:val="single" w:sz="4" w:space="0" w:color="auto"/>
              <w:left w:val="single" w:sz="4" w:space="0" w:color="auto"/>
              <w:bottom w:val="nil"/>
              <w:right w:val="nil"/>
            </w:tcBorders>
            <w:vAlign w:val="center"/>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3900" w:type="dxa"/>
            <w:gridSpan w:val="4"/>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Inventories</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u w:val="single"/>
              </w:rPr>
            </w:pPr>
            <w:r w:rsidRPr="00277A1A">
              <w:rPr>
                <w:rFonts w:ascii="Times New Roman" w:eastAsia="Times New Roman" w:hAnsi="Times New Roman" w:cs="Times New Roman"/>
                <w:sz w:val="24"/>
                <w:szCs w:val="24"/>
                <w:u w:val="single"/>
              </w:rPr>
              <w:t>141,750</w:t>
            </w:r>
          </w:p>
        </w:tc>
      </w:tr>
      <w:tr w:rsidR="00277A1A" w:rsidRPr="00277A1A" w:rsidTr="00277A1A">
        <w:trPr>
          <w:trHeight w:val="315"/>
        </w:trPr>
        <w:tc>
          <w:tcPr>
            <w:tcW w:w="3000" w:type="dxa"/>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472,500</w:t>
            </w:r>
          </w:p>
        </w:tc>
      </w:tr>
      <w:tr w:rsidR="00277A1A" w:rsidRPr="00277A1A" w:rsidTr="00277A1A">
        <w:trPr>
          <w:trHeight w:val="315"/>
        </w:trPr>
        <w:tc>
          <w:tcPr>
            <w:tcW w:w="3000" w:type="dxa"/>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b/>
                <w:bCs/>
                <w:color w:val="000000"/>
                <w:sz w:val="24"/>
                <w:szCs w:val="24"/>
              </w:rPr>
            </w:pPr>
            <w:r w:rsidRPr="00277A1A">
              <w:rPr>
                <w:rFonts w:ascii="Times New Roman" w:eastAsia="Times New Roman" w:hAnsi="Times New Roman" w:cs="Times New Roman"/>
                <w:b/>
                <w:bCs/>
                <w:color w:val="000000"/>
                <w:sz w:val="24"/>
                <w:szCs w:val="24"/>
              </w:rPr>
              <w:t>-</w:t>
            </w: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r>
      <w:tr w:rsidR="00277A1A" w:rsidRPr="00277A1A" w:rsidTr="00277A1A">
        <w:trPr>
          <w:trHeight w:val="315"/>
        </w:trPr>
        <w:tc>
          <w:tcPr>
            <w:tcW w:w="3000" w:type="dxa"/>
            <w:vMerge w:val="restart"/>
            <w:tcBorders>
              <w:top w:val="nil"/>
              <w:left w:val="single" w:sz="4" w:space="0" w:color="auto"/>
              <w:bottom w:val="nil"/>
              <w:right w:val="nil"/>
            </w:tcBorders>
            <w:shd w:val="clear" w:color="auto" w:fill="auto"/>
            <w:noWrap/>
            <w:vAlign w:val="center"/>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Current Operating Liabilities</w:t>
            </w:r>
          </w:p>
        </w:tc>
        <w:tc>
          <w:tcPr>
            <w:tcW w:w="3900" w:type="dxa"/>
            <w:gridSpan w:val="4"/>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Accounts payable</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$94,500</w:t>
            </w:r>
          </w:p>
        </w:tc>
      </w:tr>
      <w:tr w:rsidR="00277A1A" w:rsidRPr="00277A1A" w:rsidTr="00277A1A">
        <w:trPr>
          <w:trHeight w:val="315"/>
        </w:trPr>
        <w:tc>
          <w:tcPr>
            <w:tcW w:w="3000" w:type="dxa"/>
            <w:vMerge/>
            <w:tcBorders>
              <w:top w:val="nil"/>
              <w:left w:val="single" w:sz="4" w:space="0" w:color="auto"/>
              <w:bottom w:val="nil"/>
              <w:right w:val="nil"/>
            </w:tcBorders>
            <w:vAlign w:val="center"/>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3900" w:type="dxa"/>
            <w:gridSpan w:val="4"/>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 xml:space="preserve">  Total current liabilities</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$168,012</w:t>
            </w:r>
          </w:p>
        </w:tc>
      </w:tr>
      <w:tr w:rsidR="00277A1A" w:rsidRPr="00277A1A" w:rsidTr="00277A1A">
        <w:trPr>
          <w:trHeight w:val="315"/>
        </w:trPr>
        <w:tc>
          <w:tcPr>
            <w:tcW w:w="3000" w:type="dxa"/>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$262,512</w:t>
            </w:r>
          </w:p>
        </w:tc>
      </w:tr>
      <w:tr w:rsidR="00277A1A" w:rsidRPr="00277A1A" w:rsidTr="00277A1A">
        <w:trPr>
          <w:trHeight w:val="315"/>
        </w:trPr>
        <w:tc>
          <w:tcPr>
            <w:tcW w:w="3000" w:type="dxa"/>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r>
      <w:tr w:rsidR="00277A1A" w:rsidRPr="00277A1A" w:rsidTr="00277A1A">
        <w:trPr>
          <w:trHeight w:val="315"/>
        </w:trPr>
        <w:tc>
          <w:tcPr>
            <w:tcW w:w="6900" w:type="dxa"/>
            <w:gridSpan w:val="5"/>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Operating Working Capital</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$209,988</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r>
      <w:tr w:rsidR="00277A1A" w:rsidRPr="00277A1A" w:rsidTr="00277A1A">
        <w:trPr>
          <w:trHeight w:val="360"/>
        </w:trPr>
        <w:tc>
          <w:tcPr>
            <w:tcW w:w="6900" w:type="dxa"/>
            <w:gridSpan w:val="5"/>
            <w:tcBorders>
              <w:top w:val="single" w:sz="4" w:space="0" w:color="auto"/>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Operating Working Capital</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u w:val="double"/>
              </w:rPr>
            </w:pPr>
            <w:r w:rsidRPr="00277A1A">
              <w:rPr>
                <w:rFonts w:ascii="Times New Roman" w:eastAsia="Times New Roman" w:hAnsi="Times New Roman" w:cs="Times New Roman"/>
                <w:sz w:val="24"/>
                <w:szCs w:val="24"/>
                <w:u w:val="double"/>
              </w:rPr>
              <w:t>$209,988</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Operating Long-term Assets</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334,550</w:t>
            </w:r>
          </w:p>
        </w:tc>
      </w:tr>
      <w:tr w:rsidR="00277A1A" w:rsidRPr="00277A1A" w:rsidTr="00277A1A">
        <w:trPr>
          <w:trHeight w:val="315"/>
        </w:trPr>
        <w:tc>
          <w:tcPr>
            <w:tcW w:w="6900" w:type="dxa"/>
            <w:gridSpan w:val="5"/>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Total Net Operating Working Capital</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4F3814" w:rsidP="00277A1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$544,538</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r>
      <w:tr w:rsidR="00277A1A" w:rsidRPr="00277A1A" w:rsidTr="00277A1A">
        <w:trPr>
          <w:trHeight w:val="315"/>
        </w:trPr>
        <w:tc>
          <w:tcPr>
            <w:tcW w:w="6900" w:type="dxa"/>
            <w:gridSpan w:val="5"/>
            <w:tcBorders>
              <w:top w:val="single" w:sz="4" w:space="0" w:color="auto"/>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EBIT</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$99,200</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Tax Rate</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40%</w:t>
            </w:r>
          </w:p>
        </w:tc>
      </w:tr>
      <w:tr w:rsidR="00277A1A" w:rsidRPr="00277A1A" w:rsidTr="00277A1A">
        <w:trPr>
          <w:trHeight w:val="315"/>
        </w:trPr>
        <w:tc>
          <w:tcPr>
            <w:tcW w:w="6900" w:type="dxa"/>
            <w:gridSpan w:val="5"/>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Operating Profit after Taxes</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59520</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r>
      <w:tr w:rsidR="00277A1A" w:rsidRPr="00277A1A" w:rsidTr="00277A1A">
        <w:trPr>
          <w:trHeight w:val="315"/>
        </w:trPr>
        <w:tc>
          <w:tcPr>
            <w:tcW w:w="6900" w:type="dxa"/>
            <w:gridSpan w:val="5"/>
            <w:tcBorders>
              <w:top w:val="single" w:sz="4" w:space="0" w:color="auto"/>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EBT</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$88,730</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Change in (Current Assets - Current Liabilities)</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FF0000"/>
                <w:sz w:val="24"/>
                <w:szCs w:val="24"/>
              </w:rPr>
              <w:t>($1,312)</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Capital Expenses</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Not Given</w:t>
            </w:r>
          </w:p>
        </w:tc>
      </w:tr>
      <w:tr w:rsidR="00277A1A" w:rsidRPr="00277A1A" w:rsidTr="00277A1A">
        <w:trPr>
          <w:trHeight w:val="315"/>
        </w:trPr>
        <w:tc>
          <w:tcPr>
            <w:tcW w:w="6900" w:type="dxa"/>
            <w:gridSpan w:val="5"/>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Free Cash Flow</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$90,042</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r>
      <w:tr w:rsidR="00277A1A" w:rsidRPr="00277A1A" w:rsidTr="00277A1A">
        <w:trPr>
          <w:trHeight w:val="315"/>
        </w:trPr>
        <w:tc>
          <w:tcPr>
            <w:tcW w:w="6900" w:type="dxa"/>
            <w:gridSpan w:val="5"/>
            <w:tcBorders>
              <w:top w:val="single" w:sz="4" w:space="0" w:color="auto"/>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Operating Profit after Taxes</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59520</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Working Operating Capital</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209988</w:t>
            </w:r>
          </w:p>
        </w:tc>
      </w:tr>
      <w:tr w:rsidR="00277A1A" w:rsidRPr="00277A1A" w:rsidTr="00277A1A">
        <w:trPr>
          <w:trHeight w:val="315"/>
        </w:trPr>
        <w:tc>
          <w:tcPr>
            <w:tcW w:w="5255" w:type="dxa"/>
            <w:gridSpan w:val="4"/>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Non-Cash Working Capital</w:t>
            </w: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47250</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162738</w:t>
            </w:r>
          </w:p>
        </w:tc>
      </w:tr>
      <w:tr w:rsidR="00277A1A" w:rsidRPr="00277A1A" w:rsidTr="00277A1A">
        <w:trPr>
          <w:trHeight w:val="315"/>
        </w:trPr>
        <w:tc>
          <w:tcPr>
            <w:tcW w:w="5255" w:type="dxa"/>
            <w:gridSpan w:val="4"/>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Non-Cash Working Capital + Long-term Assets</w:t>
            </w: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u w:val="single"/>
              </w:rPr>
            </w:pPr>
            <w:r w:rsidRPr="00277A1A">
              <w:rPr>
                <w:rFonts w:ascii="Times New Roman" w:eastAsia="Times New Roman" w:hAnsi="Times New Roman" w:cs="Times New Roman"/>
                <w:sz w:val="24"/>
                <w:szCs w:val="24"/>
                <w:u w:val="single"/>
              </w:rPr>
              <w:t>330,750</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493,488</w:t>
            </w:r>
          </w:p>
        </w:tc>
      </w:tr>
      <w:tr w:rsidR="00277A1A" w:rsidRPr="00277A1A" w:rsidTr="00277A1A">
        <w:trPr>
          <w:trHeight w:val="315"/>
        </w:trPr>
        <w:tc>
          <w:tcPr>
            <w:tcW w:w="6900" w:type="dxa"/>
            <w:gridSpan w:val="5"/>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xml:space="preserve">Return on Invested Capital </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12.06%</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rPr>
                <w:rFonts w:ascii="Times New Roman" w:eastAsia="Times New Roman" w:hAnsi="Times New Roman" w:cs="Times New Roman"/>
                <w:color w:val="000000"/>
                <w:sz w:val="24"/>
                <w:szCs w:val="24"/>
              </w:rPr>
            </w:pPr>
          </w:p>
        </w:tc>
      </w:tr>
      <w:tr w:rsidR="00277A1A" w:rsidRPr="00277A1A" w:rsidTr="00277A1A">
        <w:trPr>
          <w:trHeight w:val="315"/>
        </w:trPr>
        <w:tc>
          <w:tcPr>
            <w:tcW w:w="6900" w:type="dxa"/>
            <w:gridSpan w:val="5"/>
            <w:tcBorders>
              <w:top w:val="single" w:sz="4" w:space="0" w:color="auto"/>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Net Income</w:t>
            </w:r>
          </w:p>
        </w:tc>
        <w:tc>
          <w:tcPr>
            <w:tcW w:w="1037" w:type="dxa"/>
            <w:tcBorders>
              <w:top w:val="single" w:sz="4" w:space="0" w:color="auto"/>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xml:space="preserve">$53,238 </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Weighted Average Cost of Capital</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8%</w:t>
            </w:r>
          </w:p>
        </w:tc>
      </w:tr>
      <w:tr w:rsidR="00277A1A" w:rsidRPr="00277A1A" w:rsidTr="00277A1A">
        <w:trPr>
          <w:trHeight w:val="315"/>
        </w:trPr>
        <w:tc>
          <w:tcPr>
            <w:tcW w:w="3366" w:type="dxa"/>
            <w:gridSpan w:val="3"/>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Capital Invested</w:t>
            </w: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u w:val="single"/>
              </w:rPr>
            </w:pPr>
            <w:r w:rsidRPr="00277A1A">
              <w:rPr>
                <w:rFonts w:ascii="Times New Roman" w:eastAsia="Times New Roman" w:hAnsi="Times New Roman" w:cs="Times New Roman"/>
                <w:sz w:val="24"/>
                <w:szCs w:val="24"/>
                <w:u w:val="single"/>
              </w:rPr>
              <w:t>$544,538</w:t>
            </w: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u w:val="single"/>
              </w:rPr>
            </w:pPr>
            <w:r w:rsidRPr="00277A1A">
              <w:rPr>
                <w:rFonts w:ascii="Times New Roman" w:eastAsia="Times New Roman" w:hAnsi="Times New Roman" w:cs="Times New Roman"/>
                <w:sz w:val="24"/>
                <w:szCs w:val="24"/>
                <w:u w:val="single"/>
              </w:rPr>
              <w:t>94,500</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sz w:val="24"/>
                <w:szCs w:val="24"/>
              </w:rPr>
            </w:pPr>
            <w:r w:rsidRPr="00277A1A">
              <w:rPr>
                <w:rFonts w:ascii="Times New Roman" w:eastAsia="Times New Roman" w:hAnsi="Times New Roman" w:cs="Times New Roman"/>
                <w:sz w:val="24"/>
                <w:szCs w:val="24"/>
              </w:rPr>
              <w:t>639,038</w:t>
            </w:r>
          </w:p>
        </w:tc>
      </w:tr>
      <w:tr w:rsidR="00277A1A" w:rsidRPr="00277A1A" w:rsidTr="00277A1A">
        <w:trPr>
          <w:trHeight w:val="315"/>
        </w:trPr>
        <w:tc>
          <w:tcPr>
            <w:tcW w:w="6900" w:type="dxa"/>
            <w:gridSpan w:val="5"/>
            <w:tcBorders>
              <w:top w:val="nil"/>
              <w:left w:val="single" w:sz="4" w:space="0" w:color="auto"/>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Capital Invested * Weighted Average Cost of Capital</w:t>
            </w:r>
          </w:p>
        </w:tc>
        <w:tc>
          <w:tcPr>
            <w:tcW w:w="1037" w:type="dxa"/>
            <w:tcBorders>
              <w:top w:val="nil"/>
              <w:left w:val="nil"/>
              <w:bottom w:val="nil"/>
              <w:right w:val="single" w:sz="4" w:space="0" w:color="auto"/>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51123</w:t>
            </w:r>
          </w:p>
        </w:tc>
      </w:tr>
      <w:tr w:rsidR="00277A1A" w:rsidRPr="00277A1A" w:rsidTr="00277A1A">
        <w:trPr>
          <w:trHeight w:val="315"/>
        </w:trPr>
        <w:tc>
          <w:tcPr>
            <w:tcW w:w="3000" w:type="dxa"/>
            <w:tcBorders>
              <w:top w:val="nil"/>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EVA</w:t>
            </w:r>
          </w:p>
        </w:tc>
        <w:tc>
          <w:tcPr>
            <w:tcW w:w="183" w:type="dxa"/>
            <w:tcBorders>
              <w:top w:val="nil"/>
              <w:left w:val="nil"/>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83" w:type="dxa"/>
            <w:tcBorders>
              <w:top w:val="nil"/>
              <w:left w:val="nil"/>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889" w:type="dxa"/>
            <w:tcBorders>
              <w:top w:val="nil"/>
              <w:left w:val="nil"/>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645" w:type="dxa"/>
            <w:tcBorders>
              <w:top w:val="nil"/>
              <w:left w:val="nil"/>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w:t>
            </w:r>
          </w:p>
        </w:tc>
        <w:tc>
          <w:tcPr>
            <w:tcW w:w="1037" w:type="dxa"/>
            <w:tcBorders>
              <w:top w:val="nil"/>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 xml:space="preserve">$2,115 </w:t>
            </w:r>
          </w:p>
        </w:tc>
      </w:tr>
      <w:tr w:rsidR="00277A1A" w:rsidRPr="00277A1A" w:rsidTr="00277A1A">
        <w:trPr>
          <w:trHeight w:val="315"/>
        </w:trPr>
        <w:tc>
          <w:tcPr>
            <w:tcW w:w="3000"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3"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889"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645"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c>
          <w:tcPr>
            <w:tcW w:w="1037" w:type="dxa"/>
            <w:tcBorders>
              <w:top w:val="nil"/>
              <w:left w:val="nil"/>
              <w:bottom w:val="nil"/>
              <w:right w:val="nil"/>
            </w:tcBorders>
            <w:shd w:val="clear" w:color="auto" w:fill="auto"/>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p>
        </w:tc>
      </w:tr>
      <w:tr w:rsidR="00277A1A" w:rsidRPr="00277A1A" w:rsidTr="00277A1A">
        <w:trPr>
          <w:trHeight w:val="315"/>
        </w:trPr>
        <w:tc>
          <w:tcPr>
            <w:tcW w:w="6900" w:type="dxa"/>
            <w:gridSpan w:val="5"/>
            <w:tcBorders>
              <w:top w:val="single" w:sz="4" w:space="0" w:color="auto"/>
              <w:left w:val="single" w:sz="4" w:space="0" w:color="auto"/>
              <w:bottom w:val="single" w:sz="4" w:space="0" w:color="auto"/>
              <w:right w:val="nil"/>
            </w:tcBorders>
            <w:shd w:val="clear" w:color="000000" w:fill="FFFF00"/>
            <w:noWrap/>
            <w:vAlign w:val="bottom"/>
            <w:hideMark/>
          </w:tcPr>
          <w:p w:rsidR="00277A1A" w:rsidRPr="00277A1A" w:rsidRDefault="00277A1A" w:rsidP="00277A1A">
            <w:pPr>
              <w:spacing w:after="0" w:line="240" w:lineRule="auto"/>
              <w:jc w:val="center"/>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MVA ($65 * 15,000)</w:t>
            </w:r>
          </w:p>
        </w:tc>
        <w:tc>
          <w:tcPr>
            <w:tcW w:w="1037" w:type="dxa"/>
            <w:tcBorders>
              <w:top w:val="single" w:sz="4" w:space="0" w:color="auto"/>
              <w:left w:val="nil"/>
              <w:bottom w:val="single" w:sz="4" w:space="0" w:color="auto"/>
              <w:right w:val="single" w:sz="4" w:space="0" w:color="auto"/>
            </w:tcBorders>
            <w:shd w:val="clear" w:color="000000" w:fill="FFFF00"/>
            <w:noWrap/>
            <w:vAlign w:val="bottom"/>
            <w:hideMark/>
          </w:tcPr>
          <w:p w:rsidR="00277A1A" w:rsidRPr="00277A1A" w:rsidRDefault="00277A1A" w:rsidP="00277A1A">
            <w:pPr>
              <w:spacing w:after="0" w:line="240" w:lineRule="auto"/>
              <w:jc w:val="right"/>
              <w:rPr>
                <w:rFonts w:ascii="Times New Roman" w:eastAsia="Times New Roman" w:hAnsi="Times New Roman" w:cs="Times New Roman"/>
                <w:color w:val="000000"/>
                <w:sz w:val="24"/>
                <w:szCs w:val="24"/>
              </w:rPr>
            </w:pPr>
            <w:r w:rsidRPr="00277A1A">
              <w:rPr>
                <w:rFonts w:ascii="Times New Roman" w:eastAsia="Times New Roman" w:hAnsi="Times New Roman" w:cs="Times New Roman"/>
                <w:color w:val="000000"/>
                <w:sz w:val="24"/>
                <w:szCs w:val="24"/>
              </w:rPr>
              <w:t>975000</w:t>
            </w:r>
          </w:p>
        </w:tc>
      </w:tr>
    </w:tbl>
    <w:p w:rsidR="0092587B" w:rsidRDefault="0092587B" w:rsidP="0092587B">
      <w:pPr>
        <w:jc w:val="center"/>
        <w:rPr>
          <w:b/>
        </w:rPr>
      </w:pPr>
    </w:p>
    <w:p w:rsidR="008E3E51" w:rsidRDefault="00A67D6D" w:rsidP="00453AC9">
      <w:pPr>
        <w:spacing w:line="480" w:lineRule="auto"/>
        <w:jc w:val="center"/>
        <w:rPr>
          <w:rFonts w:ascii="Times New Roman" w:hAnsi="Times New Roman" w:cs="Times New Roman"/>
          <w:b/>
          <w:sz w:val="24"/>
          <w:szCs w:val="24"/>
        </w:rPr>
      </w:pPr>
      <w:r w:rsidRPr="00453AC9">
        <w:rPr>
          <w:rFonts w:ascii="Times New Roman" w:hAnsi="Times New Roman" w:cs="Times New Roman"/>
          <w:b/>
          <w:sz w:val="24"/>
          <w:szCs w:val="24"/>
        </w:rPr>
        <w:lastRenderedPageBreak/>
        <w:t>Why Use These Ratios?</w:t>
      </w:r>
    </w:p>
    <w:p w:rsidR="000F677B" w:rsidRDefault="00B42FD7" w:rsidP="00EE1023">
      <w:pPr>
        <w:spacing w:line="48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ab/>
      </w:r>
      <w:r w:rsidRPr="00B42FD7">
        <w:rPr>
          <w:rFonts w:ascii="Times New Roman" w:hAnsi="Times New Roman" w:cs="Times New Roman"/>
          <w:sz w:val="24"/>
          <w:szCs w:val="24"/>
        </w:rPr>
        <w:t>Calculated by sub</w:t>
      </w:r>
      <w:bookmarkStart w:id="0" w:name="_GoBack"/>
      <w:bookmarkEnd w:id="0"/>
      <w:r w:rsidRPr="00B42FD7">
        <w:rPr>
          <w:rFonts w:ascii="Times New Roman" w:hAnsi="Times New Roman" w:cs="Times New Roman"/>
          <w:sz w:val="24"/>
          <w:szCs w:val="24"/>
        </w:rPr>
        <w:t>tracting current liabilities from current assets, Net Working Capital (NWC) shows whether a company has enough short term funds to meet current obligations and investments (</w:t>
      </w:r>
      <w:proofErr w:type="spellStart"/>
      <w:r w:rsidRPr="00B42FD7">
        <w:rPr>
          <w:rFonts w:ascii="Times New Roman" w:hAnsi="Times New Roman" w:cs="Times New Roman"/>
          <w:sz w:val="24"/>
          <w:szCs w:val="24"/>
        </w:rPr>
        <w:t>Formoso-Suralta</w:t>
      </w:r>
      <w:proofErr w:type="spellEnd"/>
      <w:r w:rsidRPr="00B42FD7">
        <w:rPr>
          <w:rFonts w:ascii="Times New Roman" w:hAnsi="Times New Roman" w:cs="Times New Roman"/>
          <w:sz w:val="24"/>
          <w:szCs w:val="24"/>
        </w:rPr>
        <w:t>, 2018).</w:t>
      </w:r>
      <w:r w:rsidR="00450913">
        <w:rPr>
          <w:rFonts w:ascii="Times New Roman" w:hAnsi="Times New Roman" w:cs="Times New Roman"/>
          <w:sz w:val="24"/>
          <w:szCs w:val="24"/>
        </w:rPr>
        <w:t xml:space="preserve"> Total Net Working Capital looks a little bit more long term, by including </w:t>
      </w:r>
      <w:r w:rsidR="00450913">
        <w:rPr>
          <w:rFonts w:ascii="Times New Roman" w:eastAsia="Times New Roman" w:hAnsi="Times New Roman" w:cs="Times New Roman"/>
          <w:color w:val="000000"/>
          <w:sz w:val="24"/>
          <w:szCs w:val="24"/>
        </w:rPr>
        <w:t>operating long-term a</w:t>
      </w:r>
      <w:r w:rsidR="00450913" w:rsidRPr="00277A1A">
        <w:rPr>
          <w:rFonts w:ascii="Times New Roman" w:eastAsia="Times New Roman" w:hAnsi="Times New Roman" w:cs="Times New Roman"/>
          <w:color w:val="000000"/>
          <w:sz w:val="24"/>
          <w:szCs w:val="24"/>
        </w:rPr>
        <w:t>ssets</w:t>
      </w:r>
      <w:r w:rsidR="00450913">
        <w:rPr>
          <w:rFonts w:ascii="Times New Roman" w:eastAsia="Times New Roman" w:hAnsi="Times New Roman" w:cs="Times New Roman"/>
          <w:color w:val="000000"/>
          <w:sz w:val="24"/>
          <w:szCs w:val="24"/>
        </w:rPr>
        <w:t xml:space="preserve"> into the formula. These may not actually be all that accessible or liquid where they cannot help to pay off short term debt obligations. </w:t>
      </w:r>
    </w:p>
    <w:p w:rsidR="000F677B" w:rsidRDefault="000F677B" w:rsidP="00EE1023">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Net Operating Profit after Taxes (NOPAT) is an important profitability indicator as it does not take interest payments into account when calculating income. This is important because interest payments reduce net income and a company’</w:t>
      </w:r>
      <w:r w:rsidR="00B33033">
        <w:rPr>
          <w:rFonts w:ascii="Times New Roman" w:eastAsia="Times New Roman" w:hAnsi="Times New Roman" w:cs="Times New Roman"/>
          <w:color w:val="000000"/>
          <w:sz w:val="24"/>
          <w:szCs w:val="24"/>
        </w:rPr>
        <w:t>s tax expense, which can make it hard to tell how efficiently an operation is actually running (Net Operating Profit, 2019).</w:t>
      </w:r>
    </w:p>
    <w:p w:rsidR="008E3E51" w:rsidRPr="000E1444" w:rsidRDefault="001219B3" w:rsidP="00EE1023">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Free cash flow (FCF), which does not include non-cash expenses, is another profitability indicator. At its core, it represents cash availability to pay dividends and debt (</w:t>
      </w:r>
      <w:proofErr w:type="spellStart"/>
      <w:r>
        <w:rPr>
          <w:rFonts w:ascii="Times New Roman" w:eastAsia="Times New Roman" w:hAnsi="Times New Roman" w:cs="Times New Roman"/>
          <w:color w:val="000000"/>
          <w:sz w:val="24"/>
          <w:szCs w:val="24"/>
        </w:rPr>
        <w:t>Jagerson</w:t>
      </w:r>
      <w:proofErr w:type="spellEnd"/>
      <w:r>
        <w:rPr>
          <w:rFonts w:ascii="Times New Roman" w:eastAsia="Times New Roman" w:hAnsi="Times New Roman" w:cs="Times New Roman"/>
          <w:color w:val="000000"/>
          <w:sz w:val="24"/>
          <w:szCs w:val="24"/>
        </w:rPr>
        <w:t xml:space="preserve">, 2020). </w:t>
      </w:r>
      <w:r w:rsidR="000E1444">
        <w:rPr>
          <w:rFonts w:ascii="Times New Roman" w:eastAsia="Times New Roman" w:hAnsi="Times New Roman" w:cs="Times New Roman"/>
          <w:color w:val="000000"/>
          <w:sz w:val="24"/>
          <w:szCs w:val="24"/>
        </w:rPr>
        <w:t>Return on Invested Capital is both a profitability and performance ratio, as it shows how well a company does using its assets to generate profits.</w:t>
      </w:r>
      <w:r w:rsidR="000F677B">
        <w:rPr>
          <w:rFonts w:ascii="Times New Roman" w:eastAsia="Times New Roman" w:hAnsi="Times New Roman" w:cs="Times New Roman"/>
          <w:color w:val="000000"/>
          <w:sz w:val="24"/>
          <w:szCs w:val="24"/>
        </w:rPr>
        <w:tab/>
      </w:r>
      <w:r w:rsidR="00450913">
        <w:rPr>
          <w:rFonts w:ascii="Times New Roman" w:eastAsia="Times New Roman" w:hAnsi="Times New Roman" w:cs="Times New Roman"/>
          <w:color w:val="000000"/>
          <w:sz w:val="24"/>
          <w:szCs w:val="24"/>
        </w:rPr>
        <w:t xml:space="preserve"> </w:t>
      </w:r>
    </w:p>
    <w:p w:rsidR="00A67D6D" w:rsidRPr="00453AC9" w:rsidRDefault="00A67D6D" w:rsidP="00EE1023">
      <w:pPr>
        <w:spacing w:line="480" w:lineRule="auto"/>
        <w:jc w:val="both"/>
        <w:rPr>
          <w:rFonts w:ascii="Times New Roman" w:hAnsi="Times New Roman" w:cs="Times New Roman"/>
          <w:sz w:val="24"/>
          <w:szCs w:val="24"/>
        </w:rPr>
      </w:pPr>
      <w:r w:rsidRPr="00453AC9">
        <w:rPr>
          <w:rFonts w:ascii="Times New Roman" w:hAnsi="Times New Roman" w:cs="Times New Roman"/>
          <w:sz w:val="24"/>
          <w:szCs w:val="24"/>
        </w:rPr>
        <w:tab/>
        <w:t>Economic Value Added (EVA) measures a company’s performance and economic profit by subtracting the net operating profit after taxes of a business by the result of the multiplication of invested capital and weighted average cost of capital (Chen, 2020). The EVA could be referenced by the company itself as a sign of efficiency, by potential investors digging deeper into the fundamentals of a company and is commonly used in studies as a pricing or evaluation model (</w:t>
      </w:r>
      <w:proofErr w:type="spellStart"/>
      <w:r w:rsidRPr="00453AC9">
        <w:rPr>
          <w:rFonts w:ascii="Times New Roman" w:hAnsi="Times New Roman" w:cs="Times New Roman"/>
          <w:sz w:val="24"/>
          <w:szCs w:val="24"/>
        </w:rPr>
        <w:t>Behera</w:t>
      </w:r>
      <w:proofErr w:type="spellEnd"/>
      <w:r w:rsidRPr="00453AC9">
        <w:rPr>
          <w:rFonts w:ascii="Times New Roman" w:hAnsi="Times New Roman" w:cs="Times New Roman"/>
          <w:sz w:val="24"/>
          <w:szCs w:val="24"/>
        </w:rPr>
        <w:t>, 2020).</w:t>
      </w:r>
      <w:r w:rsidR="008E3E51">
        <w:rPr>
          <w:rFonts w:ascii="Times New Roman" w:hAnsi="Times New Roman" w:cs="Times New Roman"/>
          <w:sz w:val="24"/>
          <w:szCs w:val="24"/>
        </w:rPr>
        <w:t xml:space="preserve"> In fact, this can be said about all of the</w:t>
      </w:r>
      <w:r w:rsidR="00B42FD7">
        <w:rPr>
          <w:rFonts w:ascii="Times New Roman" w:hAnsi="Times New Roman" w:cs="Times New Roman"/>
          <w:sz w:val="24"/>
          <w:szCs w:val="24"/>
        </w:rPr>
        <w:t xml:space="preserve"> ratios discussed in this paper.</w:t>
      </w:r>
    </w:p>
    <w:p w:rsidR="005D289A" w:rsidRPr="00453AC9" w:rsidRDefault="005D289A" w:rsidP="00EE1023">
      <w:pPr>
        <w:spacing w:line="480" w:lineRule="auto"/>
        <w:jc w:val="both"/>
        <w:rPr>
          <w:rFonts w:ascii="Times New Roman" w:hAnsi="Times New Roman" w:cs="Times New Roman"/>
          <w:sz w:val="24"/>
          <w:szCs w:val="24"/>
        </w:rPr>
      </w:pPr>
      <w:r w:rsidRPr="00453AC9">
        <w:rPr>
          <w:rFonts w:ascii="Times New Roman" w:hAnsi="Times New Roman" w:cs="Times New Roman"/>
          <w:sz w:val="24"/>
          <w:szCs w:val="24"/>
        </w:rPr>
        <w:tab/>
        <w:t>The Market Value Added ratio (MVA) is often used by investors to see how well a company does for its shareholders (Chen, 2020).</w:t>
      </w:r>
      <w:r w:rsidR="00453AC9" w:rsidRPr="00453AC9">
        <w:rPr>
          <w:rFonts w:ascii="Times New Roman" w:hAnsi="Times New Roman" w:cs="Times New Roman"/>
          <w:sz w:val="24"/>
          <w:szCs w:val="24"/>
        </w:rPr>
        <w:t xml:space="preserve"> In its simplest terms, MVA is calculated by </w:t>
      </w:r>
      <w:r w:rsidR="00453AC9" w:rsidRPr="00453AC9">
        <w:rPr>
          <w:rFonts w:ascii="Times New Roman" w:hAnsi="Times New Roman" w:cs="Times New Roman"/>
          <w:sz w:val="24"/>
          <w:szCs w:val="24"/>
        </w:rPr>
        <w:lastRenderedPageBreak/>
        <w:t>subtracting the market value of debt and equity from the sum of all capital claims (Chen, 2020). Generally, the higher the EVA value, the better. It is worth noting that a study found that NI, NOPAT and EPS measures were better predictors of stock returns than MVA (</w:t>
      </w:r>
      <w:proofErr w:type="spellStart"/>
      <w:r w:rsidR="00453AC9" w:rsidRPr="00453AC9">
        <w:rPr>
          <w:rFonts w:ascii="Times New Roman" w:hAnsi="Times New Roman" w:cs="Times New Roman"/>
          <w:sz w:val="24"/>
          <w:szCs w:val="24"/>
        </w:rPr>
        <w:t>Habibollah</w:t>
      </w:r>
      <w:proofErr w:type="spellEnd"/>
      <w:r w:rsidR="00453AC9" w:rsidRPr="00453AC9">
        <w:rPr>
          <w:rFonts w:ascii="Times New Roman" w:hAnsi="Times New Roman" w:cs="Times New Roman"/>
          <w:sz w:val="24"/>
          <w:szCs w:val="24"/>
        </w:rPr>
        <w:t>, 2016).</w:t>
      </w:r>
      <w:r w:rsidRPr="00453AC9">
        <w:rPr>
          <w:rFonts w:ascii="Times New Roman" w:hAnsi="Times New Roman" w:cs="Times New Roman"/>
          <w:sz w:val="24"/>
          <w:szCs w:val="24"/>
        </w:rPr>
        <w:t xml:space="preserve"> </w:t>
      </w:r>
    </w:p>
    <w:p w:rsidR="00A67D6D" w:rsidRDefault="00A67D6D"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Default="000E1444" w:rsidP="00453AC9">
      <w:pPr>
        <w:spacing w:line="480" w:lineRule="auto"/>
        <w:rPr>
          <w:rFonts w:ascii="Times New Roman" w:hAnsi="Times New Roman" w:cs="Times New Roman"/>
          <w:sz w:val="24"/>
          <w:szCs w:val="24"/>
        </w:rPr>
      </w:pPr>
    </w:p>
    <w:p w:rsidR="000E1444" w:rsidRPr="00453AC9" w:rsidRDefault="000E1444" w:rsidP="000E144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A67D6D" w:rsidRPr="00453AC9" w:rsidRDefault="00A67D6D" w:rsidP="00453AC9">
      <w:pPr>
        <w:spacing w:line="480" w:lineRule="auto"/>
        <w:rPr>
          <w:rFonts w:ascii="Times New Roman" w:hAnsi="Times New Roman" w:cs="Times New Roman"/>
          <w:sz w:val="24"/>
          <w:szCs w:val="24"/>
        </w:rPr>
      </w:pPr>
      <w:proofErr w:type="spellStart"/>
      <w:proofErr w:type="gramStart"/>
      <w:r w:rsidRPr="00453AC9">
        <w:rPr>
          <w:rFonts w:ascii="Times New Roman" w:hAnsi="Times New Roman" w:cs="Times New Roman"/>
          <w:sz w:val="24"/>
          <w:szCs w:val="24"/>
        </w:rPr>
        <w:t>Behera</w:t>
      </w:r>
      <w:proofErr w:type="spellEnd"/>
      <w:r w:rsidRPr="00453AC9">
        <w:rPr>
          <w:rFonts w:ascii="Times New Roman" w:hAnsi="Times New Roman" w:cs="Times New Roman"/>
          <w:sz w:val="24"/>
          <w:szCs w:val="24"/>
        </w:rPr>
        <w:t>, S. (2020).</w:t>
      </w:r>
      <w:proofErr w:type="gramEnd"/>
      <w:r w:rsidRPr="00453AC9">
        <w:rPr>
          <w:rFonts w:ascii="Times New Roman" w:hAnsi="Times New Roman" w:cs="Times New Roman"/>
          <w:sz w:val="24"/>
          <w:szCs w:val="24"/>
        </w:rPr>
        <w:t xml:space="preserve"> Does the EVA valuation model explain the market value of equity better </w:t>
      </w:r>
      <w:r w:rsidR="000E1444">
        <w:rPr>
          <w:rFonts w:ascii="Times New Roman" w:hAnsi="Times New Roman" w:cs="Times New Roman"/>
          <w:sz w:val="24"/>
          <w:szCs w:val="24"/>
        </w:rPr>
        <w:tab/>
      </w:r>
      <w:r w:rsidRPr="00453AC9">
        <w:rPr>
          <w:rFonts w:ascii="Times New Roman" w:hAnsi="Times New Roman" w:cs="Times New Roman"/>
          <w:sz w:val="24"/>
          <w:szCs w:val="24"/>
        </w:rPr>
        <w:t xml:space="preserve">under changing required return than constant required return? </w:t>
      </w:r>
      <w:proofErr w:type="gramStart"/>
      <w:r w:rsidRPr="00453AC9">
        <w:rPr>
          <w:rFonts w:ascii="Times New Roman" w:hAnsi="Times New Roman" w:cs="Times New Roman"/>
          <w:i/>
          <w:sz w:val="24"/>
          <w:szCs w:val="24"/>
        </w:rPr>
        <w:t>Financial Innovation.</w:t>
      </w:r>
      <w:proofErr w:type="gramEnd"/>
      <w:r w:rsidRPr="00453AC9">
        <w:rPr>
          <w:rFonts w:ascii="Times New Roman" w:hAnsi="Times New Roman" w:cs="Times New Roman"/>
          <w:sz w:val="24"/>
          <w:szCs w:val="24"/>
        </w:rPr>
        <w:t xml:space="preserve"> </w:t>
      </w:r>
      <w:r w:rsidR="000E1444">
        <w:rPr>
          <w:rFonts w:ascii="Times New Roman" w:hAnsi="Times New Roman" w:cs="Times New Roman"/>
          <w:sz w:val="24"/>
          <w:szCs w:val="24"/>
        </w:rPr>
        <w:tab/>
      </w:r>
      <w:r w:rsidRPr="00453AC9">
        <w:rPr>
          <w:rFonts w:ascii="Times New Roman" w:hAnsi="Times New Roman" w:cs="Times New Roman"/>
          <w:sz w:val="24"/>
          <w:szCs w:val="24"/>
        </w:rPr>
        <w:t xml:space="preserve">Retrieved from </w:t>
      </w:r>
      <w:r w:rsidR="000E1444">
        <w:rPr>
          <w:rFonts w:ascii="Times New Roman" w:hAnsi="Times New Roman" w:cs="Times New Roman"/>
          <w:sz w:val="24"/>
          <w:szCs w:val="24"/>
        </w:rPr>
        <w:tab/>
      </w:r>
      <w:hyperlink r:id="rId7" w:history="1">
        <w:r w:rsidR="000E1444" w:rsidRPr="00647DCF">
          <w:rPr>
            <w:rStyle w:val="Hyperlink"/>
            <w:rFonts w:ascii="Times New Roman" w:hAnsi="Times New Roman" w:cs="Times New Roman"/>
            <w:sz w:val="24"/>
            <w:szCs w:val="24"/>
          </w:rPr>
          <w:t>http://eds.a.ebscohost.com.csuglobal.idm.oclc.org/eds/detail/detail?vid=3&amp;sid=b72eee64</w:t>
        </w:r>
        <w:r w:rsidR="000E1444" w:rsidRPr="00647DCF">
          <w:rPr>
            <w:rStyle w:val="Hyperlink"/>
            <w:rFonts w:ascii="Times New Roman" w:hAnsi="Times New Roman" w:cs="Times New Roman"/>
            <w:sz w:val="24"/>
            <w:szCs w:val="24"/>
          </w:rPr>
          <w:tab/>
          <w:t>-407f-4226-9129-</w:t>
        </w:r>
        <w:r w:rsidR="000E1444" w:rsidRPr="00647DCF">
          <w:rPr>
            <w:rStyle w:val="Hyperlink"/>
            <w:rFonts w:ascii="Times New Roman" w:hAnsi="Times New Roman" w:cs="Times New Roman"/>
            <w:sz w:val="24"/>
            <w:szCs w:val="24"/>
          </w:rPr>
          <w:tab/>
          <w:t>c6e2f9b89b05%40sessionmgr4007&amp;bdata=JnNpdGU9ZWRzLWxpdmU%3d#AN=edsd</w:t>
        </w:r>
        <w:r w:rsidR="000E1444" w:rsidRPr="00647DCF">
          <w:rPr>
            <w:rStyle w:val="Hyperlink"/>
            <w:rFonts w:ascii="Times New Roman" w:hAnsi="Times New Roman" w:cs="Times New Roman"/>
            <w:sz w:val="24"/>
            <w:szCs w:val="24"/>
          </w:rPr>
          <w:tab/>
          <w:t>oj.50931d00ca844ad9ab92f65ddeddfa8c&amp;db=edsdoj</w:t>
        </w:r>
      </w:hyperlink>
    </w:p>
    <w:p w:rsidR="00A67D6D" w:rsidRPr="00453AC9" w:rsidRDefault="00A67D6D" w:rsidP="00453AC9">
      <w:pPr>
        <w:spacing w:line="480" w:lineRule="auto"/>
        <w:rPr>
          <w:rFonts w:ascii="Times New Roman" w:hAnsi="Times New Roman" w:cs="Times New Roman"/>
          <w:sz w:val="24"/>
          <w:szCs w:val="24"/>
        </w:rPr>
      </w:pPr>
      <w:r w:rsidRPr="00453AC9">
        <w:rPr>
          <w:rFonts w:ascii="Times New Roman" w:hAnsi="Times New Roman" w:cs="Times New Roman"/>
          <w:sz w:val="24"/>
          <w:szCs w:val="24"/>
        </w:rPr>
        <w:t xml:space="preserve">Chen, J. (2020). Economic Value Added (EVA). </w:t>
      </w:r>
      <w:proofErr w:type="gramStart"/>
      <w:r w:rsidRPr="00453AC9">
        <w:rPr>
          <w:rFonts w:ascii="Times New Roman" w:hAnsi="Times New Roman" w:cs="Times New Roman"/>
          <w:i/>
          <w:sz w:val="24"/>
          <w:szCs w:val="24"/>
        </w:rPr>
        <w:t>Investopedia.</w:t>
      </w:r>
      <w:proofErr w:type="gramEnd"/>
      <w:r w:rsidRPr="00453AC9">
        <w:rPr>
          <w:rFonts w:ascii="Times New Roman" w:hAnsi="Times New Roman" w:cs="Times New Roman"/>
          <w:sz w:val="24"/>
          <w:szCs w:val="24"/>
        </w:rPr>
        <w:t xml:space="preserve"> Retrieved from </w:t>
      </w:r>
      <w:r w:rsidR="000E1444">
        <w:rPr>
          <w:rFonts w:ascii="Times New Roman" w:hAnsi="Times New Roman" w:cs="Times New Roman"/>
          <w:sz w:val="24"/>
          <w:szCs w:val="24"/>
        </w:rPr>
        <w:tab/>
      </w:r>
      <w:hyperlink r:id="rId8" w:history="1">
        <w:r w:rsidR="000E1444" w:rsidRPr="00647DCF">
          <w:rPr>
            <w:rStyle w:val="Hyperlink"/>
            <w:rFonts w:ascii="Times New Roman" w:hAnsi="Times New Roman" w:cs="Times New Roman"/>
            <w:sz w:val="24"/>
            <w:szCs w:val="24"/>
          </w:rPr>
          <w:t>https://www.investopedia.com/terms/e/eva.asp#:~:text=Economic%20value%20added%2</w:t>
        </w:r>
        <w:r w:rsidR="000E1444" w:rsidRPr="00647DCF">
          <w:rPr>
            <w:rStyle w:val="Hyperlink"/>
            <w:rFonts w:ascii="Times New Roman" w:hAnsi="Times New Roman" w:cs="Times New Roman"/>
            <w:sz w:val="24"/>
            <w:szCs w:val="24"/>
          </w:rPr>
          <w:tab/>
          <w:t>0(EVA)%20is,taxes%20on%20a%20cash%20basis.</w:t>
        </w:r>
      </w:hyperlink>
    </w:p>
    <w:p w:rsidR="005D289A" w:rsidRDefault="005D289A" w:rsidP="00453AC9">
      <w:pPr>
        <w:spacing w:line="480" w:lineRule="auto"/>
        <w:rPr>
          <w:rFonts w:ascii="Times New Roman" w:hAnsi="Times New Roman" w:cs="Times New Roman"/>
          <w:sz w:val="24"/>
          <w:szCs w:val="24"/>
        </w:rPr>
      </w:pPr>
      <w:r w:rsidRPr="00453AC9">
        <w:rPr>
          <w:rFonts w:ascii="Times New Roman" w:hAnsi="Times New Roman" w:cs="Times New Roman"/>
          <w:sz w:val="24"/>
          <w:szCs w:val="24"/>
        </w:rPr>
        <w:t xml:space="preserve">Chen, J. (2020). Market Value Added (MVA). </w:t>
      </w:r>
      <w:proofErr w:type="gramStart"/>
      <w:r w:rsidRPr="00453AC9">
        <w:rPr>
          <w:rFonts w:ascii="Times New Roman" w:hAnsi="Times New Roman" w:cs="Times New Roman"/>
          <w:i/>
          <w:sz w:val="24"/>
          <w:szCs w:val="24"/>
        </w:rPr>
        <w:t>Investopedia.</w:t>
      </w:r>
      <w:proofErr w:type="gramEnd"/>
      <w:r w:rsidRPr="00453AC9">
        <w:rPr>
          <w:rFonts w:ascii="Times New Roman" w:hAnsi="Times New Roman" w:cs="Times New Roman"/>
          <w:sz w:val="24"/>
          <w:szCs w:val="24"/>
        </w:rPr>
        <w:t xml:space="preserve"> Retrieved from </w:t>
      </w:r>
      <w:r w:rsidR="000E1444">
        <w:rPr>
          <w:rFonts w:ascii="Times New Roman" w:hAnsi="Times New Roman" w:cs="Times New Roman"/>
          <w:sz w:val="24"/>
          <w:szCs w:val="24"/>
        </w:rPr>
        <w:tab/>
      </w:r>
      <w:hyperlink r:id="rId9" w:history="1">
        <w:r w:rsidR="000E1444" w:rsidRPr="00647DCF">
          <w:rPr>
            <w:rStyle w:val="Hyperlink"/>
            <w:rFonts w:ascii="Times New Roman" w:hAnsi="Times New Roman" w:cs="Times New Roman"/>
            <w:sz w:val="24"/>
            <w:szCs w:val="24"/>
          </w:rPr>
          <w:t>https://www.investopedia.com/terms/m/mva.asp#:~:text=Market%20value%20added%20</w:t>
        </w:r>
        <w:r w:rsidR="000E1444" w:rsidRPr="00647DCF">
          <w:rPr>
            <w:rStyle w:val="Hyperlink"/>
            <w:rFonts w:ascii="Times New Roman" w:hAnsi="Times New Roman" w:cs="Times New Roman"/>
            <w:sz w:val="24"/>
            <w:szCs w:val="24"/>
          </w:rPr>
          <w:tab/>
          <w:t>(MVA)%20is,value%20of%20debt%20and%20equity.</w:t>
        </w:r>
      </w:hyperlink>
    </w:p>
    <w:p w:rsidR="00B42FD7" w:rsidRPr="00B42FD7" w:rsidRDefault="00B42FD7" w:rsidP="00453AC9">
      <w:pPr>
        <w:spacing w:line="480" w:lineRule="auto"/>
        <w:rPr>
          <w:rFonts w:ascii="Times New Roman" w:hAnsi="Times New Roman" w:cs="Times New Roman"/>
          <w:sz w:val="24"/>
          <w:szCs w:val="24"/>
        </w:rPr>
      </w:pPr>
      <w:proofErr w:type="spellStart"/>
      <w:r w:rsidRPr="00B42FD7">
        <w:rPr>
          <w:rFonts w:ascii="Times New Roman" w:hAnsi="Times New Roman" w:cs="Times New Roman"/>
          <w:sz w:val="24"/>
          <w:szCs w:val="24"/>
        </w:rPr>
        <w:t>Formoso-S</w:t>
      </w:r>
      <w:r>
        <w:rPr>
          <w:rFonts w:ascii="Times New Roman" w:hAnsi="Times New Roman" w:cs="Times New Roman"/>
          <w:sz w:val="24"/>
          <w:szCs w:val="24"/>
        </w:rPr>
        <w:t>uralta</w:t>
      </w:r>
      <w:proofErr w:type="spellEnd"/>
      <w:r>
        <w:rPr>
          <w:rFonts w:ascii="Times New Roman" w:hAnsi="Times New Roman" w:cs="Times New Roman"/>
          <w:sz w:val="24"/>
          <w:szCs w:val="24"/>
        </w:rPr>
        <w:t>, B. (</w:t>
      </w:r>
      <w:r w:rsidRPr="00B42FD7">
        <w:rPr>
          <w:rFonts w:ascii="Times New Roman" w:hAnsi="Times New Roman" w:cs="Times New Roman"/>
          <w:sz w:val="24"/>
          <w:szCs w:val="24"/>
        </w:rPr>
        <w:t>2018</w:t>
      </w:r>
      <w:r>
        <w:rPr>
          <w:rFonts w:ascii="Times New Roman" w:hAnsi="Times New Roman" w:cs="Times New Roman"/>
          <w:sz w:val="24"/>
          <w:szCs w:val="24"/>
        </w:rPr>
        <w:t xml:space="preserve">). What is Net Working Capital: How to Calculator &amp; NWC </w:t>
      </w:r>
      <w:proofErr w:type="gramStart"/>
      <w:r>
        <w:rPr>
          <w:rFonts w:ascii="Times New Roman" w:hAnsi="Times New Roman" w:cs="Times New Roman"/>
          <w:sz w:val="24"/>
          <w:szCs w:val="24"/>
        </w:rPr>
        <w:t>Formula.</w:t>
      </w:r>
      <w:proofErr w:type="gramEnd"/>
      <w:r>
        <w:rPr>
          <w:rFonts w:ascii="Times New Roman" w:hAnsi="Times New Roman" w:cs="Times New Roman"/>
          <w:sz w:val="24"/>
          <w:szCs w:val="24"/>
        </w:rPr>
        <w:t xml:space="preserve"> </w:t>
      </w:r>
      <w:r w:rsidR="000E1444">
        <w:rPr>
          <w:rFonts w:ascii="Times New Roman" w:hAnsi="Times New Roman" w:cs="Times New Roman"/>
          <w:sz w:val="24"/>
          <w:szCs w:val="24"/>
        </w:rPr>
        <w:tab/>
      </w:r>
      <w:r>
        <w:rPr>
          <w:rFonts w:ascii="Times New Roman" w:hAnsi="Times New Roman" w:cs="Times New Roman"/>
          <w:i/>
          <w:sz w:val="24"/>
          <w:szCs w:val="24"/>
        </w:rPr>
        <w:t>Fit Small Business.</w:t>
      </w:r>
      <w:r>
        <w:rPr>
          <w:rFonts w:ascii="Times New Roman" w:hAnsi="Times New Roman" w:cs="Times New Roman"/>
          <w:sz w:val="24"/>
          <w:szCs w:val="24"/>
        </w:rPr>
        <w:t xml:space="preserve"> Retrieved from </w:t>
      </w:r>
      <w:hyperlink r:id="rId10" w:history="1">
        <w:r w:rsidR="000E1444" w:rsidRPr="00647DCF">
          <w:rPr>
            <w:rStyle w:val="Hyperlink"/>
          </w:rPr>
          <w:t>https://fitsmallbusiness.com/what-is-net-working-capital-</w:t>
        </w:r>
        <w:r w:rsidR="000E1444" w:rsidRPr="00647DCF">
          <w:rPr>
            <w:rStyle w:val="Hyperlink"/>
          </w:rPr>
          <w:tab/>
          <w:t>nwc/#:~:text=Net%20working%20capital%20(NWC)%20is,and%20invest%20in%20other%20activities.</w:t>
        </w:r>
      </w:hyperlink>
    </w:p>
    <w:p w:rsidR="00453AC9" w:rsidRDefault="00453AC9" w:rsidP="00453AC9">
      <w:pPr>
        <w:spacing w:line="480" w:lineRule="auto"/>
        <w:rPr>
          <w:rFonts w:ascii="Times New Roman" w:hAnsi="Times New Roman" w:cs="Times New Roman"/>
          <w:sz w:val="24"/>
          <w:szCs w:val="24"/>
        </w:rPr>
      </w:pPr>
      <w:proofErr w:type="spellStart"/>
      <w:r w:rsidRPr="00453AC9">
        <w:rPr>
          <w:rFonts w:ascii="Times New Roman" w:hAnsi="Times New Roman" w:cs="Times New Roman"/>
          <w:sz w:val="24"/>
          <w:szCs w:val="24"/>
        </w:rPr>
        <w:t>Habibollah</w:t>
      </w:r>
      <w:proofErr w:type="spellEnd"/>
      <w:r w:rsidRPr="00453AC9">
        <w:rPr>
          <w:rFonts w:ascii="Times New Roman" w:hAnsi="Times New Roman" w:cs="Times New Roman"/>
          <w:sz w:val="24"/>
          <w:szCs w:val="24"/>
        </w:rPr>
        <w:t xml:space="preserve">, N. (2016). Market value added and traditional accounting criteria: Which measure is </w:t>
      </w:r>
      <w:r w:rsidR="000E1444">
        <w:rPr>
          <w:rFonts w:ascii="Times New Roman" w:hAnsi="Times New Roman" w:cs="Times New Roman"/>
          <w:sz w:val="24"/>
          <w:szCs w:val="24"/>
        </w:rPr>
        <w:tab/>
      </w:r>
      <w:r w:rsidRPr="00453AC9">
        <w:rPr>
          <w:rFonts w:ascii="Times New Roman" w:hAnsi="Times New Roman" w:cs="Times New Roman"/>
          <w:sz w:val="24"/>
          <w:szCs w:val="24"/>
        </w:rPr>
        <w:t xml:space="preserve">a best predictor of stock return in Malaysian </w:t>
      </w:r>
      <w:proofErr w:type="gramStart"/>
      <w:r w:rsidRPr="00453AC9">
        <w:rPr>
          <w:rFonts w:ascii="Times New Roman" w:hAnsi="Times New Roman" w:cs="Times New Roman"/>
          <w:sz w:val="24"/>
          <w:szCs w:val="24"/>
        </w:rPr>
        <w:t>companies.</w:t>
      </w:r>
      <w:proofErr w:type="gramEnd"/>
      <w:r w:rsidRPr="00453AC9">
        <w:rPr>
          <w:rFonts w:ascii="Times New Roman" w:hAnsi="Times New Roman" w:cs="Times New Roman"/>
          <w:sz w:val="24"/>
          <w:szCs w:val="24"/>
        </w:rPr>
        <w:t xml:space="preserve"> </w:t>
      </w:r>
      <w:proofErr w:type="gramStart"/>
      <w:r w:rsidRPr="00453AC9">
        <w:rPr>
          <w:rFonts w:ascii="Times New Roman" w:hAnsi="Times New Roman" w:cs="Times New Roman"/>
          <w:i/>
          <w:sz w:val="24"/>
          <w:szCs w:val="24"/>
        </w:rPr>
        <w:t xml:space="preserve">Iranian Journal of Management </w:t>
      </w:r>
      <w:r w:rsidR="000E1444">
        <w:rPr>
          <w:rFonts w:ascii="Times New Roman" w:hAnsi="Times New Roman" w:cs="Times New Roman"/>
          <w:i/>
          <w:sz w:val="24"/>
          <w:szCs w:val="24"/>
        </w:rPr>
        <w:tab/>
      </w:r>
      <w:r w:rsidRPr="00453AC9">
        <w:rPr>
          <w:rFonts w:ascii="Times New Roman" w:hAnsi="Times New Roman" w:cs="Times New Roman"/>
          <w:i/>
          <w:sz w:val="24"/>
          <w:szCs w:val="24"/>
        </w:rPr>
        <w:t>Studies.</w:t>
      </w:r>
      <w:proofErr w:type="gramEnd"/>
      <w:r w:rsidRPr="00453AC9">
        <w:rPr>
          <w:rFonts w:ascii="Times New Roman" w:hAnsi="Times New Roman" w:cs="Times New Roman"/>
          <w:sz w:val="24"/>
          <w:szCs w:val="24"/>
        </w:rPr>
        <w:t xml:space="preserve"> Retrieved from </w:t>
      </w:r>
      <w:r w:rsidR="000E1444">
        <w:rPr>
          <w:rFonts w:ascii="Times New Roman" w:hAnsi="Times New Roman" w:cs="Times New Roman"/>
          <w:sz w:val="24"/>
          <w:szCs w:val="24"/>
        </w:rPr>
        <w:tab/>
      </w:r>
      <w:hyperlink r:id="rId11" w:history="1">
        <w:r w:rsidR="000E1444" w:rsidRPr="00647DCF">
          <w:rPr>
            <w:rStyle w:val="Hyperlink"/>
            <w:rFonts w:ascii="Times New Roman" w:hAnsi="Times New Roman" w:cs="Times New Roman"/>
            <w:sz w:val="24"/>
            <w:szCs w:val="24"/>
          </w:rPr>
          <w:t>http://eds.a.ebscohost.com.csuglobal.idm.oclc.org/eds/detail/detail?vid=7&amp;sid=b72eee64</w:t>
        </w:r>
        <w:r w:rsidR="000E1444" w:rsidRPr="00647DCF">
          <w:rPr>
            <w:rStyle w:val="Hyperlink"/>
            <w:rFonts w:ascii="Times New Roman" w:hAnsi="Times New Roman" w:cs="Times New Roman"/>
            <w:sz w:val="24"/>
            <w:szCs w:val="24"/>
          </w:rPr>
          <w:lastRenderedPageBreak/>
          <w:tab/>
          <w:t>-407f-4226-9129-</w:t>
        </w:r>
        <w:r w:rsidR="000E1444" w:rsidRPr="00647DCF">
          <w:rPr>
            <w:rStyle w:val="Hyperlink"/>
            <w:rFonts w:ascii="Times New Roman" w:hAnsi="Times New Roman" w:cs="Times New Roman"/>
            <w:sz w:val="24"/>
            <w:szCs w:val="24"/>
          </w:rPr>
          <w:tab/>
          <w:t>c6e2f9b89b05%40sessionmgr4007&amp;bdata=JnNpdGU9ZWRzLWxpdmU%3d#AN=1162</w:t>
        </w:r>
        <w:r w:rsidR="000E1444" w:rsidRPr="00647DCF">
          <w:rPr>
            <w:rStyle w:val="Hyperlink"/>
            <w:rFonts w:ascii="Times New Roman" w:hAnsi="Times New Roman" w:cs="Times New Roman"/>
            <w:sz w:val="24"/>
            <w:szCs w:val="24"/>
          </w:rPr>
          <w:tab/>
          <w:t>58527&amp;db=bth</w:t>
        </w:r>
      </w:hyperlink>
    </w:p>
    <w:p w:rsidR="001219B3" w:rsidRPr="001219B3" w:rsidRDefault="001219B3" w:rsidP="00453AC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Jagerson</w:t>
      </w:r>
      <w:proofErr w:type="spellEnd"/>
      <w:r>
        <w:rPr>
          <w:rFonts w:ascii="Times New Roman" w:hAnsi="Times New Roman" w:cs="Times New Roman"/>
          <w:sz w:val="24"/>
          <w:szCs w:val="24"/>
        </w:rPr>
        <w:t xml:space="preserve">, J. (2020). Free Cash Flow. </w:t>
      </w:r>
      <w:proofErr w:type="gramStart"/>
      <w:r>
        <w:rPr>
          <w:rFonts w:ascii="Times New Roman" w:hAnsi="Times New Roman" w:cs="Times New Roman"/>
          <w:i/>
          <w:sz w:val="24"/>
          <w:szCs w:val="24"/>
        </w:rPr>
        <w:t>Investopedia.</w:t>
      </w:r>
      <w:proofErr w:type="gramEnd"/>
      <w:r>
        <w:rPr>
          <w:rFonts w:ascii="Times New Roman" w:hAnsi="Times New Roman" w:cs="Times New Roman"/>
          <w:sz w:val="24"/>
          <w:szCs w:val="24"/>
        </w:rPr>
        <w:t xml:space="preserve"> Retrieved from </w:t>
      </w:r>
      <w:r w:rsidR="000E1444">
        <w:rPr>
          <w:rFonts w:ascii="Times New Roman" w:hAnsi="Times New Roman" w:cs="Times New Roman"/>
          <w:sz w:val="24"/>
          <w:szCs w:val="24"/>
        </w:rPr>
        <w:tab/>
      </w:r>
      <w:hyperlink r:id="rId12" w:history="1">
        <w:r>
          <w:rPr>
            <w:rStyle w:val="Hyperlink"/>
          </w:rPr>
          <w:t>https://www.investopedia.com/terms/f/freecashflow.asp</w:t>
        </w:r>
      </w:hyperlink>
    </w:p>
    <w:p w:rsidR="00B33033" w:rsidRPr="00B33033" w:rsidRDefault="00B33033" w:rsidP="00453AC9">
      <w:pPr>
        <w:spacing w:line="480" w:lineRule="auto"/>
        <w:rPr>
          <w:rFonts w:ascii="Times New Roman" w:hAnsi="Times New Roman" w:cs="Times New Roman"/>
          <w:sz w:val="24"/>
          <w:szCs w:val="24"/>
        </w:rPr>
      </w:pPr>
      <w:r>
        <w:rPr>
          <w:rFonts w:ascii="Times New Roman" w:hAnsi="Times New Roman" w:cs="Times New Roman"/>
          <w:sz w:val="24"/>
          <w:szCs w:val="24"/>
        </w:rPr>
        <w:t xml:space="preserve">Net Operating Profit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Tax. (2019). </w:t>
      </w:r>
      <w:r>
        <w:rPr>
          <w:rFonts w:ascii="Times New Roman" w:hAnsi="Times New Roman" w:cs="Times New Roman"/>
          <w:i/>
          <w:sz w:val="24"/>
          <w:szCs w:val="24"/>
        </w:rPr>
        <w:t xml:space="preserve">Investing Answers. </w:t>
      </w:r>
      <w:r>
        <w:rPr>
          <w:rFonts w:ascii="Times New Roman" w:hAnsi="Times New Roman" w:cs="Times New Roman"/>
          <w:sz w:val="24"/>
          <w:szCs w:val="24"/>
        </w:rPr>
        <w:t xml:space="preserve">Retrieved from </w:t>
      </w:r>
      <w:r w:rsidR="000E1444">
        <w:rPr>
          <w:rFonts w:ascii="Times New Roman" w:hAnsi="Times New Roman" w:cs="Times New Roman"/>
          <w:sz w:val="24"/>
          <w:szCs w:val="24"/>
        </w:rPr>
        <w:tab/>
      </w:r>
      <w:hyperlink r:id="rId13" w:history="1">
        <w:r w:rsidR="000E1444" w:rsidRPr="00647DCF">
          <w:rPr>
            <w:rStyle w:val="Hyperlink"/>
          </w:rPr>
          <w:t>https://investinganswers.com/dictionary/n/net-operating-profit-after-tax-</w:t>
        </w:r>
        <w:r w:rsidR="000E1444" w:rsidRPr="00647DCF">
          <w:rPr>
            <w:rStyle w:val="Hyperlink"/>
          </w:rPr>
          <w:tab/>
          <w:t>nopat#:~:text=Net%20operating%20profit%20after%20tax%20(NOPAT)%20is%20a%20measure</w:t>
        </w:r>
        <w:r w:rsidR="000E1444" w:rsidRPr="00647DCF">
          <w:rPr>
            <w:rStyle w:val="Hyperlink"/>
          </w:rPr>
          <w:tab/>
          <w:t>%20of,for%20the%20impact%20of%20taxes.</w:t>
        </w:r>
      </w:hyperlink>
    </w:p>
    <w:p w:rsidR="0092587B" w:rsidRPr="00453AC9" w:rsidRDefault="0092587B" w:rsidP="00453AC9">
      <w:pPr>
        <w:spacing w:line="480" w:lineRule="auto"/>
        <w:jc w:val="center"/>
        <w:rPr>
          <w:rFonts w:ascii="Times New Roman" w:hAnsi="Times New Roman" w:cs="Times New Roman"/>
          <w:b/>
          <w:sz w:val="24"/>
          <w:szCs w:val="24"/>
        </w:rPr>
      </w:pPr>
    </w:p>
    <w:p w:rsidR="0092587B" w:rsidRDefault="0092587B" w:rsidP="0092587B">
      <w:pPr>
        <w:jc w:val="center"/>
        <w:rPr>
          <w:b/>
        </w:rPr>
      </w:pPr>
    </w:p>
    <w:p w:rsidR="0092587B" w:rsidRDefault="0092587B" w:rsidP="0092587B">
      <w:pPr>
        <w:jc w:val="center"/>
        <w:rPr>
          <w:b/>
        </w:rPr>
      </w:pPr>
    </w:p>
    <w:p w:rsidR="0092587B" w:rsidRDefault="0092587B" w:rsidP="0092587B">
      <w:pPr>
        <w:jc w:val="center"/>
        <w:rPr>
          <w:b/>
        </w:rPr>
      </w:pPr>
    </w:p>
    <w:p w:rsidR="0092587B" w:rsidRDefault="0092587B" w:rsidP="0092587B">
      <w:pPr>
        <w:jc w:val="center"/>
        <w:rPr>
          <w:b/>
        </w:rPr>
      </w:pPr>
    </w:p>
    <w:p w:rsidR="0092587B" w:rsidRDefault="0092587B" w:rsidP="0092587B">
      <w:pPr>
        <w:jc w:val="center"/>
        <w:rPr>
          <w:b/>
        </w:rPr>
      </w:pPr>
    </w:p>
    <w:p w:rsidR="0092587B" w:rsidRDefault="0092587B" w:rsidP="0092587B">
      <w:pPr>
        <w:jc w:val="center"/>
        <w:rPr>
          <w:b/>
        </w:rPr>
      </w:pPr>
    </w:p>
    <w:p w:rsidR="0092587B" w:rsidRPr="0092587B" w:rsidRDefault="0092587B" w:rsidP="0092587B">
      <w:pPr>
        <w:jc w:val="center"/>
        <w:rPr>
          <w:b/>
        </w:rPr>
      </w:pPr>
    </w:p>
    <w:sectPr w:rsidR="0092587B" w:rsidRPr="0092587B" w:rsidSect="00316F37">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49" w:rsidRDefault="00495B49" w:rsidP="00316F37">
      <w:pPr>
        <w:spacing w:after="0" w:line="240" w:lineRule="auto"/>
      </w:pPr>
      <w:r>
        <w:separator/>
      </w:r>
    </w:p>
  </w:endnote>
  <w:endnote w:type="continuationSeparator" w:id="0">
    <w:p w:rsidR="00495B49" w:rsidRDefault="00495B49" w:rsidP="0031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49" w:rsidRDefault="00495B49" w:rsidP="00316F37">
      <w:pPr>
        <w:spacing w:after="0" w:line="240" w:lineRule="auto"/>
      </w:pPr>
      <w:r>
        <w:separator/>
      </w:r>
    </w:p>
  </w:footnote>
  <w:footnote w:type="continuationSeparator" w:id="0">
    <w:p w:rsidR="00495B49" w:rsidRDefault="00495B49" w:rsidP="00316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F37" w:rsidRDefault="00316F37">
    <w:pPr>
      <w:pStyle w:val="Header"/>
    </w:pPr>
    <w:r w:rsidRPr="00316F37">
      <w:rPr>
        <w:rFonts w:ascii="Times New Roman" w:hAnsi="Times New Roman" w:cs="Times New Roman"/>
        <w:sz w:val="24"/>
        <w:szCs w:val="24"/>
      </w:rPr>
      <w:t>CRITICAL THINKING ONE: OPTION #1</w:t>
    </w:r>
    <w:r>
      <w:ptab w:relativeTo="margin" w:alignment="center" w:leader="none"/>
    </w:r>
    <w:r>
      <w:ptab w:relativeTo="margin" w:alignment="right" w:leader="none"/>
    </w:r>
    <w:r>
      <w:fldChar w:fldCharType="begin"/>
    </w:r>
    <w:r>
      <w:instrText xml:space="preserve"> PAGE   \* MERGEFORMAT </w:instrText>
    </w:r>
    <w:r>
      <w:fldChar w:fldCharType="separate"/>
    </w:r>
    <w:r w:rsidR="00EE1023">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F37" w:rsidRPr="00316F37" w:rsidRDefault="00316F37">
    <w:pPr>
      <w:pStyle w:val="Header"/>
      <w:rPr>
        <w:rFonts w:ascii="Times New Roman" w:hAnsi="Times New Roman" w:cs="Times New Roman"/>
        <w:sz w:val="24"/>
        <w:szCs w:val="24"/>
      </w:rPr>
    </w:pPr>
    <w:r w:rsidRPr="00316F37">
      <w:rPr>
        <w:rFonts w:ascii="Times New Roman" w:hAnsi="Times New Roman" w:cs="Times New Roman"/>
        <w:sz w:val="24"/>
        <w:szCs w:val="24"/>
      </w:rPr>
      <w:t>RUNNING HEADER: CRITICAL THINKING ONE: OPTION #1</w:t>
    </w:r>
    <w:r w:rsidRPr="00316F37">
      <w:rPr>
        <w:rFonts w:ascii="Times New Roman" w:hAnsi="Times New Roman" w:cs="Times New Roman"/>
        <w:sz w:val="24"/>
        <w:szCs w:val="24"/>
      </w:rPr>
      <w:ptab w:relativeTo="margin" w:alignment="right" w:leader="none"/>
    </w:r>
    <w:r w:rsidRPr="00316F37">
      <w:rPr>
        <w:rFonts w:ascii="Times New Roman" w:hAnsi="Times New Roman" w:cs="Times New Roman"/>
        <w:sz w:val="24"/>
        <w:szCs w:val="24"/>
      </w:rPr>
      <w:fldChar w:fldCharType="begin"/>
    </w:r>
    <w:r w:rsidRPr="00316F37">
      <w:rPr>
        <w:rFonts w:ascii="Times New Roman" w:hAnsi="Times New Roman" w:cs="Times New Roman"/>
        <w:sz w:val="24"/>
        <w:szCs w:val="24"/>
      </w:rPr>
      <w:instrText xml:space="preserve"> PAGE   \* MERGEFORMAT </w:instrText>
    </w:r>
    <w:r w:rsidRPr="00316F37">
      <w:rPr>
        <w:rFonts w:ascii="Times New Roman" w:hAnsi="Times New Roman" w:cs="Times New Roman"/>
        <w:sz w:val="24"/>
        <w:szCs w:val="24"/>
      </w:rPr>
      <w:fldChar w:fldCharType="separate"/>
    </w:r>
    <w:r w:rsidR="00B33033">
      <w:rPr>
        <w:rFonts w:ascii="Times New Roman" w:hAnsi="Times New Roman" w:cs="Times New Roman"/>
        <w:noProof/>
        <w:sz w:val="24"/>
        <w:szCs w:val="24"/>
      </w:rPr>
      <w:t>1</w:t>
    </w:r>
    <w:r w:rsidRPr="00316F3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7B"/>
    <w:rsid w:val="00036B80"/>
    <w:rsid w:val="0005441C"/>
    <w:rsid w:val="000E1444"/>
    <w:rsid w:val="000F677B"/>
    <w:rsid w:val="001219B3"/>
    <w:rsid w:val="00277A1A"/>
    <w:rsid w:val="00316F37"/>
    <w:rsid w:val="00450913"/>
    <w:rsid w:val="00453AC9"/>
    <w:rsid w:val="00495B49"/>
    <w:rsid w:val="004F3814"/>
    <w:rsid w:val="005B6853"/>
    <w:rsid w:val="005D289A"/>
    <w:rsid w:val="00684F74"/>
    <w:rsid w:val="008E3E51"/>
    <w:rsid w:val="0092587B"/>
    <w:rsid w:val="00A67D6D"/>
    <w:rsid w:val="00B33033"/>
    <w:rsid w:val="00B42FD7"/>
    <w:rsid w:val="00EE1023"/>
    <w:rsid w:val="00F5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37"/>
  </w:style>
  <w:style w:type="paragraph" w:styleId="Footer">
    <w:name w:val="footer"/>
    <w:basedOn w:val="Normal"/>
    <w:link w:val="FooterChar"/>
    <w:uiPriority w:val="99"/>
    <w:unhideWhenUsed/>
    <w:rsid w:val="00316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37"/>
  </w:style>
  <w:style w:type="paragraph" w:styleId="BalloonText">
    <w:name w:val="Balloon Text"/>
    <w:basedOn w:val="Normal"/>
    <w:link w:val="BalloonTextChar"/>
    <w:uiPriority w:val="99"/>
    <w:semiHidden/>
    <w:unhideWhenUsed/>
    <w:rsid w:val="00316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F37"/>
    <w:rPr>
      <w:rFonts w:ascii="Tahoma" w:hAnsi="Tahoma" w:cs="Tahoma"/>
      <w:sz w:val="16"/>
      <w:szCs w:val="16"/>
    </w:rPr>
  </w:style>
  <w:style w:type="character" w:styleId="Hyperlink">
    <w:name w:val="Hyperlink"/>
    <w:basedOn w:val="DefaultParagraphFont"/>
    <w:uiPriority w:val="99"/>
    <w:unhideWhenUsed/>
    <w:rsid w:val="00A67D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37"/>
  </w:style>
  <w:style w:type="paragraph" w:styleId="Footer">
    <w:name w:val="footer"/>
    <w:basedOn w:val="Normal"/>
    <w:link w:val="FooterChar"/>
    <w:uiPriority w:val="99"/>
    <w:unhideWhenUsed/>
    <w:rsid w:val="00316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37"/>
  </w:style>
  <w:style w:type="paragraph" w:styleId="BalloonText">
    <w:name w:val="Balloon Text"/>
    <w:basedOn w:val="Normal"/>
    <w:link w:val="BalloonTextChar"/>
    <w:uiPriority w:val="99"/>
    <w:semiHidden/>
    <w:unhideWhenUsed/>
    <w:rsid w:val="00316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F37"/>
    <w:rPr>
      <w:rFonts w:ascii="Tahoma" w:hAnsi="Tahoma" w:cs="Tahoma"/>
      <w:sz w:val="16"/>
      <w:szCs w:val="16"/>
    </w:rPr>
  </w:style>
  <w:style w:type="character" w:styleId="Hyperlink">
    <w:name w:val="Hyperlink"/>
    <w:basedOn w:val="DefaultParagraphFont"/>
    <w:uiPriority w:val="99"/>
    <w:unhideWhenUsed/>
    <w:rsid w:val="00A67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4526">
      <w:bodyDiv w:val="1"/>
      <w:marLeft w:val="0"/>
      <w:marRight w:val="0"/>
      <w:marTop w:val="0"/>
      <w:marBottom w:val="0"/>
      <w:divBdr>
        <w:top w:val="none" w:sz="0" w:space="0" w:color="auto"/>
        <w:left w:val="none" w:sz="0" w:space="0" w:color="auto"/>
        <w:bottom w:val="none" w:sz="0" w:space="0" w:color="auto"/>
        <w:right w:val="none" w:sz="0" w:space="0" w:color="auto"/>
      </w:divBdr>
    </w:div>
    <w:div w:id="264577556">
      <w:bodyDiv w:val="1"/>
      <w:marLeft w:val="0"/>
      <w:marRight w:val="0"/>
      <w:marTop w:val="0"/>
      <w:marBottom w:val="0"/>
      <w:divBdr>
        <w:top w:val="none" w:sz="0" w:space="0" w:color="auto"/>
        <w:left w:val="none" w:sz="0" w:space="0" w:color="auto"/>
        <w:bottom w:val="none" w:sz="0" w:space="0" w:color="auto"/>
        <w:right w:val="none" w:sz="0" w:space="0" w:color="auto"/>
      </w:divBdr>
    </w:div>
    <w:div w:id="569510780">
      <w:bodyDiv w:val="1"/>
      <w:marLeft w:val="0"/>
      <w:marRight w:val="0"/>
      <w:marTop w:val="0"/>
      <w:marBottom w:val="0"/>
      <w:divBdr>
        <w:top w:val="none" w:sz="0" w:space="0" w:color="auto"/>
        <w:left w:val="none" w:sz="0" w:space="0" w:color="auto"/>
        <w:bottom w:val="none" w:sz="0" w:space="0" w:color="auto"/>
        <w:right w:val="none" w:sz="0" w:space="0" w:color="auto"/>
      </w:divBdr>
    </w:div>
    <w:div w:id="1045569822">
      <w:bodyDiv w:val="1"/>
      <w:marLeft w:val="0"/>
      <w:marRight w:val="0"/>
      <w:marTop w:val="0"/>
      <w:marBottom w:val="0"/>
      <w:divBdr>
        <w:top w:val="none" w:sz="0" w:space="0" w:color="auto"/>
        <w:left w:val="none" w:sz="0" w:space="0" w:color="auto"/>
        <w:bottom w:val="none" w:sz="0" w:space="0" w:color="auto"/>
        <w:right w:val="none" w:sz="0" w:space="0" w:color="auto"/>
      </w:divBdr>
    </w:div>
    <w:div w:id="1061948704">
      <w:bodyDiv w:val="1"/>
      <w:marLeft w:val="0"/>
      <w:marRight w:val="0"/>
      <w:marTop w:val="0"/>
      <w:marBottom w:val="0"/>
      <w:divBdr>
        <w:top w:val="none" w:sz="0" w:space="0" w:color="auto"/>
        <w:left w:val="none" w:sz="0" w:space="0" w:color="auto"/>
        <w:bottom w:val="none" w:sz="0" w:space="0" w:color="auto"/>
        <w:right w:val="none" w:sz="0" w:space="0" w:color="auto"/>
      </w:divBdr>
    </w:div>
    <w:div w:id="1255045103">
      <w:bodyDiv w:val="1"/>
      <w:marLeft w:val="0"/>
      <w:marRight w:val="0"/>
      <w:marTop w:val="0"/>
      <w:marBottom w:val="0"/>
      <w:divBdr>
        <w:top w:val="none" w:sz="0" w:space="0" w:color="auto"/>
        <w:left w:val="none" w:sz="0" w:space="0" w:color="auto"/>
        <w:bottom w:val="none" w:sz="0" w:space="0" w:color="auto"/>
        <w:right w:val="none" w:sz="0" w:space="0" w:color="auto"/>
      </w:divBdr>
    </w:div>
    <w:div w:id="1565529321">
      <w:bodyDiv w:val="1"/>
      <w:marLeft w:val="0"/>
      <w:marRight w:val="0"/>
      <w:marTop w:val="0"/>
      <w:marBottom w:val="0"/>
      <w:divBdr>
        <w:top w:val="none" w:sz="0" w:space="0" w:color="auto"/>
        <w:left w:val="none" w:sz="0" w:space="0" w:color="auto"/>
        <w:bottom w:val="none" w:sz="0" w:space="0" w:color="auto"/>
        <w:right w:val="none" w:sz="0" w:space="0" w:color="auto"/>
      </w:divBdr>
    </w:div>
    <w:div w:id="1815172709">
      <w:bodyDiv w:val="1"/>
      <w:marLeft w:val="0"/>
      <w:marRight w:val="0"/>
      <w:marTop w:val="0"/>
      <w:marBottom w:val="0"/>
      <w:divBdr>
        <w:top w:val="none" w:sz="0" w:space="0" w:color="auto"/>
        <w:left w:val="none" w:sz="0" w:space="0" w:color="auto"/>
        <w:bottom w:val="none" w:sz="0" w:space="0" w:color="auto"/>
        <w:right w:val="none" w:sz="0" w:space="0" w:color="auto"/>
      </w:divBdr>
    </w:div>
    <w:div w:id="19772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va.asp#:~:text=Economic%20value%20added%2	0(EVA)%20is,taxes%20on%20a%20cash%20basis." TargetMode="External"/><Relationship Id="rId13" Type="http://schemas.openxmlformats.org/officeDocument/2006/relationships/hyperlink" Target="https://investinganswers.com/dictionary/n/net-operating-profit-after-tax-%09nopat#:~:text=Net%20operating%20profit%20after%20tax%20(NOPAT)%20is%20a%20measure	%20of,for%20the%20impact%20of%20taxes." TargetMode="External"/><Relationship Id="rId3" Type="http://schemas.openxmlformats.org/officeDocument/2006/relationships/settings" Target="settings.xml"/><Relationship Id="rId7" Type="http://schemas.openxmlformats.org/officeDocument/2006/relationships/hyperlink" Target="http://eds.a.ebscohost.com.csuglobal.idm.oclc.org/eds/detail/detail?vid=3&amp;sid=b72eee64%09-407f-4226-9129-%09c6e2f9b89b05%40sessionmgr4007&amp;bdata=JnNpdGU9ZWRzLWxpdmU%3d#AN=edsd	oj.50931d00ca844ad9ab92f65ddeddfa8c&amp;db=edsdoj" TargetMode="External"/><Relationship Id="rId12" Type="http://schemas.openxmlformats.org/officeDocument/2006/relationships/hyperlink" Target="https://www.investopedia.com/terms/f/freecashflow.asp"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ds.a.ebscohost.com.csuglobal.idm.oclc.org/eds/detail/detail?vid=7&amp;sid=b72eee64%09-407f-4226-9129-%09c6e2f9b89b05%40sessionmgr4007&amp;bdata=JnNpdGU9ZWRzLWxpdmU%3d#AN=1162	58527&amp;db=b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fitsmallbusiness.com/what-is-net-working-capital-%09nwc/#:~:text=Net%20working%20capital%20(NWC)%20is,and%20invest%20in%20other%20activities." TargetMode="External"/><Relationship Id="rId4" Type="http://schemas.openxmlformats.org/officeDocument/2006/relationships/webSettings" Target="webSettings.xml"/><Relationship Id="rId9" Type="http://schemas.openxmlformats.org/officeDocument/2006/relationships/hyperlink" Target="https://www.investopedia.com/terms/m/mva.asp#:~:text=Market%20value%20added%20	(MVA)%20is,value%20of%20debt%20and%20equ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45</cp:revision>
  <dcterms:created xsi:type="dcterms:W3CDTF">2020-07-19T19:33:00Z</dcterms:created>
  <dcterms:modified xsi:type="dcterms:W3CDTF">2020-07-20T03:17:00Z</dcterms:modified>
</cp:coreProperties>
</file>