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framePr w:w="0" w:hRule="auto" w:wrap="auto" w:vAnchor="margin" w:hAnchor="text" w:yAlign="inline"/>
        <w:rPr>
          <w:sz w:val="28"/>
          <w:szCs w:val="28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关键点检测</w:t>
      </w:r>
      <w:r>
        <w:rPr>
          <w:rFonts w:ascii="Helvetica Neue" w:hAnsi="Helvetica Neue"/>
          <w:sz w:val="28"/>
          <w:szCs w:val="28"/>
          <w:rtl w:val="0"/>
          <w:lang w:val="zh-CN" w:eastAsia="zh-CN"/>
        </w:rPr>
        <w:t>-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姿态估计的两个方向：</w:t>
      </w:r>
    </w:p>
    <w:p>
      <w:pPr>
        <w:pStyle w:val="6"/>
        <w:framePr w:w="0" w:hRule="auto" w:wrap="auto" w:vAnchor="margin" w:hAnchor="text" w:yAlign="inline"/>
        <w:rPr>
          <w:sz w:val="28"/>
          <w:szCs w:val="28"/>
        </w:rPr>
      </w:pPr>
      <w:r>
        <w:rPr>
          <w:rFonts w:ascii="Helvetica Neue" w:hAnsi="Helvetica Neue"/>
          <w:sz w:val="28"/>
          <w:szCs w:val="28"/>
          <w:rtl w:val="0"/>
          <w:lang w:val="zh-CN" w:eastAsia="zh-CN"/>
        </w:rPr>
        <w:t>1.</w:t>
      </w:r>
      <w:r>
        <w:rPr>
          <w:rFonts w:ascii="Helvetica Neue" w:hAnsi="Helvetica Neue"/>
          <w:sz w:val="28"/>
          <w:szCs w:val="28"/>
          <w:rtl w:val="0"/>
          <w:lang w:val="en-US"/>
        </w:rPr>
        <w:t>Two-step framework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（自上而下的方法，如</w:t>
      </w:r>
      <w:r>
        <w:rPr>
          <w:rFonts w:ascii="Helvetica Neue" w:hAnsi="Helvetica Neue"/>
          <w:sz w:val="28"/>
          <w:szCs w:val="28"/>
          <w:rtl w:val="0"/>
          <w:lang w:val="zh-CN" w:eastAsia="zh-CN"/>
        </w:rPr>
        <w:t>AlphaPose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）：</w:t>
      </w:r>
    </w:p>
    <w:p>
      <w:pPr>
        <w:pStyle w:val="6"/>
        <w:framePr w:w="0" w:hRule="auto" w:wrap="auto" w:vAnchor="margin" w:hAnchor="text" w:yAlign="inline"/>
        <w:rPr>
          <w:sz w:val="28"/>
          <w:szCs w:val="28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先检测环境中的每一个人体检测框，然后独立地去检测每一个人体区域的姿态</w:t>
      </w:r>
    </w:p>
    <w:p>
      <w:pPr>
        <w:pStyle w:val="6"/>
        <w:framePr w:w="0" w:hRule="auto" w:wrap="auto" w:vAnchor="margin" w:hAnchor="text" w:yAlign="inline"/>
        <w:rPr>
          <w:sz w:val="28"/>
          <w:szCs w:val="28"/>
        </w:rPr>
      </w:pPr>
      <w:r>
        <w:rPr>
          <w:rFonts w:ascii="Helvetica Neue" w:hAnsi="Helvetica Neue"/>
          <w:sz w:val="28"/>
          <w:szCs w:val="28"/>
          <w:rtl w:val="0"/>
          <w:lang w:val="zh-CN" w:eastAsia="zh-CN"/>
        </w:rPr>
        <w:t>2.</w:t>
      </w:r>
      <w:r>
        <w:rPr>
          <w:rFonts w:ascii="Helvetica Neue" w:hAnsi="Helvetica Neue"/>
          <w:sz w:val="28"/>
          <w:szCs w:val="28"/>
          <w:rtl w:val="0"/>
          <w:lang w:val="en-US"/>
        </w:rPr>
        <w:t>Part-based framework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（自下而上的方法，如</w:t>
      </w:r>
      <w:r>
        <w:rPr>
          <w:rFonts w:ascii="Helvetica Neue" w:hAnsi="Helvetica Neue"/>
          <w:sz w:val="28"/>
          <w:szCs w:val="28"/>
          <w:rtl w:val="0"/>
          <w:lang w:val="zh-CN" w:eastAsia="zh-CN"/>
        </w:rPr>
        <w:t>OpenPose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）：</w:t>
      </w: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</w:rPr>
        <w:t>检测出环境中的所有肢体节点，然后进行拼接得到多人的骨架</w:t>
      </w: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</w:rPr>
        <w:t>第一种方案，姿态检测准确度高度依赖目标区域框检测的质量。第二种方案，如果两人离得十分近，容易出现模棱两可的情况，而且由于是依赖两个部件之间的关系，所以失去了对全局的信息获取。</w:t>
      </w: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</w:pP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</w:pPr>
      <w:r>
        <w:rPr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-34925</wp:posOffset>
            </wp:positionH>
            <wp:positionV relativeFrom="line">
              <wp:posOffset>3528060</wp:posOffset>
            </wp:positionV>
            <wp:extent cx="5977890" cy="3318510"/>
            <wp:effectExtent l="0" t="0" r="3810" b="15240"/>
            <wp:wrapThrough wrapText="bothSides">
              <wp:wrapPolygon>
                <wp:start x="0" y="0"/>
                <wp:lineTo x="0" y="21451"/>
                <wp:lineTo x="21545" y="21451"/>
                <wp:lineTo x="21545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33185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-38735</wp:posOffset>
            </wp:positionH>
            <wp:positionV relativeFrom="line">
              <wp:posOffset>5715</wp:posOffset>
            </wp:positionV>
            <wp:extent cx="6138545" cy="3479800"/>
            <wp:effectExtent l="0" t="0" r="0" b="0"/>
            <wp:wrapThrough wrapText="bothSides">
              <wp:wrapPolygon>
                <wp:start x="0" y="0"/>
                <wp:lineTo x="0" y="21521"/>
                <wp:lineTo x="21517" y="21521"/>
                <wp:lineTo x="21517" y="0"/>
                <wp:lineTo x="0" y="0"/>
              </wp:wrapPolygon>
            </wp:wrapThrough>
            <wp:docPr id="107374182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3479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</w:rPr>
        <w:t>传统方法的问题：</w:t>
      </w:r>
      <w:bookmarkStart w:id="0" w:name="_GoBack"/>
      <w:bookmarkEnd w:id="0"/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sz w:val="28"/>
          <w:szCs w:val="28"/>
          <w:shd w:val="clear" w:color="auto" w:fill="FFFFFF"/>
          <w:rtl w:val="0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zh-CN" w:eastAsia="zh-CN"/>
        </w:rPr>
        <w:t>红框为真实框，黄框为检测到的框（</w:t>
      </w:r>
      <w:r>
        <w:rPr>
          <w:rFonts w:ascii="Verdana" w:hAnsi="Verdana"/>
          <w:sz w:val="28"/>
          <w:szCs w:val="28"/>
          <w:shd w:val="clear" w:color="auto" w:fill="FFFFFF"/>
          <w:rtl w:val="0"/>
        </w:rPr>
        <w:t>IoU&gt;0.5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zh-CN" w:eastAsia="zh-CN"/>
        </w:rPr>
        <w:t>）。由于定位错误，黄框得到的热图无法检测到关节点。</w:t>
      </w: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sz w:val="28"/>
          <w:szCs w:val="28"/>
          <w:shd w:val="clear" w:color="auto" w:fill="FFFFFF"/>
          <w:rtl w:val="0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zh-CN" w:eastAsia="zh-CN"/>
        </w:rPr>
        <w:t>同一个人可能检测到多个框。</w:t>
      </w: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sz w:val="28"/>
          <w:szCs w:val="28"/>
          <w:shd w:val="clear" w:color="auto" w:fill="FFFFFF"/>
          <w:rtl w:val="0"/>
        </w:rPr>
      </w:pP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sz w:val="28"/>
          <w:szCs w:val="28"/>
          <w:shd w:val="clear" w:color="auto" w:fill="FFFFFF"/>
          <w:rtl w:val="0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zh-CN" w:eastAsia="zh-CN"/>
        </w:rPr>
        <w:t>本文的解决方案和创新点：</w:t>
      </w: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</w:pPr>
      <w:r>
        <w:rPr>
          <w:rFonts w:ascii="Verdana" w:hAnsi="Verdana"/>
          <w:outline w:val="0"/>
          <w:color w:val="333333"/>
          <w:sz w:val="28"/>
          <w:szCs w:val="28"/>
          <w:shd w:val="clear" w:color="auto" w:fill="FFFFFF"/>
          <w:rtl w:val="0"/>
        </w:rPr>
        <w:t>1</w:t>
      </w:r>
      <w:r>
        <w:rPr>
          <w:rFonts w:ascii="Verdana" w:hAnsi="Verdana"/>
          <w:outline w:val="0"/>
          <w:color w:val="333333"/>
          <w:sz w:val="28"/>
          <w:szCs w:val="28"/>
          <w:shd w:val="clear" w:color="auto" w:fill="FFFFFF"/>
          <w:rtl w:val="0"/>
          <w:lang w:val="en-US"/>
        </w:rPr>
        <w:t xml:space="preserve">. Symmetric Spatial Transformer Network </w:t>
      </w:r>
      <w:r>
        <w:rPr>
          <w:rFonts w:hint="default" w:ascii="Verdana" w:hAnsi="Verdana"/>
          <w:outline w:val="0"/>
          <w:color w:val="333333"/>
          <w:sz w:val="28"/>
          <w:szCs w:val="28"/>
          <w:shd w:val="clear" w:color="auto" w:fill="FFFFFF"/>
          <w:rtl w:val="0"/>
        </w:rPr>
        <w:t xml:space="preserve">– </w:t>
      </w:r>
      <w:r>
        <w:rPr>
          <w:rFonts w:ascii="Verdana" w:hAnsi="Verdana"/>
          <w:outline w:val="0"/>
          <w:color w:val="333333"/>
          <w:sz w:val="28"/>
          <w:szCs w:val="28"/>
          <w:shd w:val="clear" w:color="auto" w:fill="FFFFFF"/>
          <w:rtl w:val="0"/>
          <w:lang w:val="de-DE"/>
        </w:rPr>
        <w:t>SSTN</w:t>
      </w:r>
      <w:r>
        <w:rPr>
          <w:rFonts w:hint="default" w:ascii="Verdana" w:hAnsi="Verdana"/>
          <w:outline w:val="0"/>
          <w:color w:val="333333"/>
          <w:sz w:val="28"/>
          <w:szCs w:val="28"/>
          <w:shd w:val="clear" w:color="auto" w:fill="FFFFFF"/>
          <w:rtl w:val="0"/>
        </w:rPr>
        <w:t> 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</w:rPr>
        <w:t>对称空间变换网络：在不准确的</w:t>
      </w:r>
      <w:r>
        <w:rPr>
          <w:rFonts w:ascii="Verdana" w:hAnsi="Verdana"/>
          <w:outline w:val="0"/>
          <w:color w:val="333333"/>
          <w:sz w:val="28"/>
          <w:szCs w:val="28"/>
          <w:shd w:val="clear" w:color="auto" w:fill="FFFFFF"/>
          <w:rtl w:val="0"/>
          <w:lang w:val="en-US"/>
        </w:rPr>
        <w:t>bounding box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</w:rPr>
        <w:t>中提取单人区域</w:t>
      </w: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</w:pPr>
      <w:r>
        <w:rPr>
          <w:rFonts w:ascii="Verdana" w:hAnsi="Verdana"/>
          <w:outline w:val="0"/>
          <w:color w:val="333333"/>
          <w:sz w:val="28"/>
          <w:szCs w:val="28"/>
          <w:shd w:val="clear" w:color="auto" w:fill="FFFFFF"/>
          <w:rtl w:val="0"/>
        </w:rPr>
        <w:t>2</w:t>
      </w:r>
      <w:r>
        <w:rPr>
          <w:rFonts w:ascii="Verdana" w:hAnsi="Verdana"/>
          <w:outline w:val="0"/>
          <w:color w:val="333333"/>
          <w:sz w:val="28"/>
          <w:szCs w:val="28"/>
          <w:shd w:val="clear" w:color="auto" w:fill="FFFFFF"/>
          <w:rtl w:val="0"/>
          <w:lang w:val="en-US"/>
        </w:rPr>
        <w:t>.</w:t>
      </w:r>
      <w:r>
        <w:rPr>
          <w:rFonts w:ascii="Verdana" w:hAnsi="Verdana"/>
          <w:outline w:val="0"/>
          <w:color w:val="333333"/>
          <w:sz w:val="28"/>
          <w:szCs w:val="28"/>
          <w:shd w:val="clear" w:color="auto" w:fill="FFFFFF"/>
          <w:rtl w:val="0"/>
          <w:lang w:val="fr-FR"/>
        </w:rPr>
        <w:t xml:space="preserve"> Parametric Pose Non-Maximum-Suppression </w:t>
      </w:r>
      <w:r>
        <w:rPr>
          <w:rFonts w:hint="default" w:ascii="Verdana" w:hAnsi="Verdana"/>
          <w:outline w:val="0"/>
          <w:color w:val="333333"/>
          <w:sz w:val="28"/>
          <w:szCs w:val="28"/>
          <w:shd w:val="clear" w:color="auto" w:fill="FFFFFF"/>
          <w:rtl w:val="0"/>
        </w:rPr>
        <w:t xml:space="preserve">– </w:t>
      </w:r>
      <w:r>
        <w:rPr>
          <w:rFonts w:ascii="Verdana" w:hAnsi="Verdana"/>
          <w:outline w:val="0"/>
          <w:color w:val="333333"/>
          <w:sz w:val="28"/>
          <w:szCs w:val="28"/>
          <w:shd w:val="clear" w:color="auto" w:fill="FFFFFF"/>
          <w:rtl w:val="0"/>
          <w:lang w:val="de-DE"/>
        </w:rPr>
        <w:t>NMS</w:t>
      </w:r>
      <w:r>
        <w:rPr>
          <w:rFonts w:hint="default" w:ascii="Verdana" w:hAnsi="Verdana"/>
          <w:outline w:val="0"/>
          <w:color w:val="333333"/>
          <w:sz w:val="28"/>
          <w:szCs w:val="28"/>
          <w:shd w:val="clear" w:color="auto" w:fill="FFFFFF"/>
          <w:rtl w:val="0"/>
        </w:rPr>
        <w:t> 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</w:rPr>
        <w:t>参数化姿态非最大抑制：解决冗余</w:t>
      </w: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</w:pPr>
      <w:r>
        <w:rPr>
          <w:rFonts w:ascii="Verdana" w:hAnsi="Verdana"/>
          <w:outline w:val="0"/>
          <w:color w:val="333333"/>
          <w:sz w:val="28"/>
          <w:szCs w:val="28"/>
          <w:shd w:val="clear" w:color="auto" w:fill="FFFFFF"/>
          <w:rtl w:val="0"/>
        </w:rPr>
        <w:t>3</w:t>
      </w:r>
      <w:r>
        <w:rPr>
          <w:rFonts w:ascii="Verdana" w:hAnsi="Verdana"/>
          <w:outline w:val="0"/>
          <w:color w:val="333333"/>
          <w:sz w:val="28"/>
          <w:szCs w:val="28"/>
          <w:shd w:val="clear" w:color="auto" w:fill="FFFFFF"/>
          <w:rtl w:val="0"/>
          <w:lang w:val="en-US"/>
        </w:rPr>
        <w:t xml:space="preserve">. Pose-Guided Proposals Generator </w:t>
      </w:r>
      <w:r>
        <w:rPr>
          <w:rFonts w:hint="default" w:ascii="Verdana" w:hAnsi="Verdana"/>
          <w:outline w:val="0"/>
          <w:color w:val="333333"/>
          <w:sz w:val="28"/>
          <w:szCs w:val="28"/>
          <w:shd w:val="clear" w:color="auto" w:fill="FFFFFF"/>
          <w:rtl w:val="0"/>
        </w:rPr>
        <w:t xml:space="preserve">– </w:t>
      </w:r>
      <w:r>
        <w:rPr>
          <w:rFonts w:ascii="Verdana" w:hAnsi="Verdana"/>
          <w:outline w:val="0"/>
          <w:color w:val="333333"/>
          <w:sz w:val="28"/>
          <w:szCs w:val="28"/>
          <w:shd w:val="clear" w:color="auto" w:fill="FFFFFF"/>
          <w:rtl w:val="0"/>
          <w:lang w:val="fr-FR"/>
        </w:rPr>
        <w:t>PGPG</w:t>
      </w:r>
      <w:r>
        <w:rPr>
          <w:rFonts w:hint="default" w:ascii="Verdana" w:hAnsi="Verdana"/>
          <w:outline w:val="0"/>
          <w:color w:val="333333"/>
          <w:sz w:val="28"/>
          <w:szCs w:val="28"/>
          <w:shd w:val="clear" w:color="auto" w:fill="FFFFFF"/>
          <w:rtl w:val="0"/>
        </w:rPr>
        <w:t> 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</w:rPr>
        <w:t>姿态引导区域框生成器：增强训练数据</w:t>
      </w:r>
      <w:r>
        <w:rPr>
          <w:rFonts w:ascii="Verdana" w:hAnsi="Verdana" w:eastAsia="Verdana" w:cs="Verdana"/>
          <w:i/>
          <w:iCs/>
          <w:outline w:val="0"/>
          <w:color w:val="333333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254000</wp:posOffset>
            </wp:positionV>
            <wp:extent cx="6120130" cy="1674495"/>
            <wp:effectExtent l="0" t="0" r="0" b="0"/>
            <wp:wrapThrough wrapText="bothSides">
              <wp:wrapPolygon>
                <wp:start x="0" y="0"/>
                <wp:lineTo x="21621" y="0"/>
                <wp:lineTo x="21621" y="21661"/>
                <wp:lineTo x="0" y="21661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746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sz w:val="28"/>
          <w:szCs w:val="28"/>
          <w:shd w:val="clear" w:color="auto" w:fill="FFFFFF"/>
          <w:rtl w:val="0"/>
        </w:rPr>
      </w:pPr>
      <w:r>
        <w:rPr>
          <w:rFonts w:ascii="Verdana" w:hAnsi="Verdana"/>
          <w:sz w:val="28"/>
          <w:szCs w:val="28"/>
          <w:shd w:val="clear" w:color="auto" w:fill="FFFFFF"/>
          <w:rtl w:val="0"/>
        </w:rPr>
        <w:t>Symmetric STN=STN+SPPE+SDTN</w:t>
      </w: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sz w:val="28"/>
          <w:szCs w:val="28"/>
          <w:shd w:val="clear" w:color="auto" w:fill="FFFFFF"/>
          <w:rtl w:val="0"/>
        </w:rPr>
      </w:pPr>
      <w:r>
        <w:rPr>
          <w:rFonts w:ascii="Verdana" w:hAnsi="Verdana"/>
          <w:sz w:val="28"/>
          <w:szCs w:val="28"/>
          <w:shd w:val="clear" w:color="auto" w:fill="FFFFFF"/>
          <w:rtl w:val="0"/>
          <w:lang w:val="de-DE"/>
        </w:rPr>
        <w:t>STN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zh-CN" w:eastAsia="zh-CN"/>
        </w:rPr>
        <w:t>：空间变换网络，对于不准确的输入，得到准确的人的框。输入候选区域，用于获取高质量的候选区域。</w:t>
      </w: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sz w:val="28"/>
          <w:szCs w:val="28"/>
          <w:shd w:val="clear" w:color="auto" w:fill="FFFFFF"/>
          <w:rtl w:val="0"/>
        </w:rPr>
      </w:pPr>
      <w:r>
        <w:rPr>
          <w:rFonts w:ascii="Verdana" w:hAnsi="Verdana"/>
          <w:sz w:val="28"/>
          <w:szCs w:val="28"/>
          <w:shd w:val="clear" w:color="auto" w:fill="FFFFFF"/>
          <w:rtl w:val="0"/>
          <w:lang w:val="pt-PT"/>
        </w:rPr>
        <w:t>SPPE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zh-CN" w:eastAsia="zh-CN"/>
        </w:rPr>
        <w:t>：得到估计的姿态。</w:t>
      </w: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sz w:val="28"/>
          <w:szCs w:val="28"/>
          <w:shd w:val="clear" w:color="auto" w:fill="FFFFFF"/>
          <w:rtl w:val="0"/>
        </w:rPr>
      </w:pPr>
      <w:r>
        <w:rPr>
          <w:rFonts w:ascii="Verdana" w:hAnsi="Verdana"/>
          <w:sz w:val="28"/>
          <w:szCs w:val="28"/>
          <w:shd w:val="clear" w:color="auto" w:fill="FFFFFF"/>
          <w:rtl w:val="0"/>
        </w:rPr>
        <w:t>SDTN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zh-CN" w:eastAsia="zh-CN"/>
        </w:rPr>
        <w:t>：空间逆变换网络，将估计的姿态映射回原始的图像坐标。</w:t>
      </w: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sz w:val="28"/>
          <w:szCs w:val="28"/>
          <w:shd w:val="clear" w:color="auto" w:fill="FFFFFF"/>
          <w:rtl w:val="0"/>
        </w:rPr>
      </w:pPr>
      <w:r>
        <w:rPr>
          <w:rFonts w:ascii="Verdana" w:hAnsi="Verdana"/>
          <w:sz w:val="28"/>
          <w:szCs w:val="28"/>
          <w:shd w:val="clear" w:color="auto" w:fill="FFFFFF"/>
          <w:rtl w:val="0"/>
          <w:lang w:val="de-DE"/>
        </w:rPr>
        <w:t>Pose-NMS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zh-CN" w:eastAsia="zh-CN"/>
        </w:rPr>
        <w:t>：消除额外的估计到的姿态</w:t>
      </w: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sz w:val="28"/>
          <w:szCs w:val="28"/>
          <w:shd w:val="clear" w:color="auto" w:fill="FFFFFF"/>
          <w:rtl w:val="0"/>
        </w:rPr>
      </w:pPr>
      <w:r>
        <w:rPr>
          <w:rFonts w:ascii="Verdana" w:hAnsi="Verdana"/>
          <w:sz w:val="28"/>
          <w:szCs w:val="28"/>
          <w:shd w:val="clear" w:color="auto" w:fill="FFFFFF"/>
          <w:rtl w:val="0"/>
          <w:lang w:val="de-DE"/>
        </w:rPr>
        <w:t>Parallel SPPE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zh-CN" w:eastAsia="zh-CN"/>
        </w:rPr>
        <w:t>：训练阶段作为额外的正则项，避免陷入局部最优，并进一步提升</w:t>
      </w:r>
      <w:r>
        <w:rPr>
          <w:rFonts w:ascii="Verdana" w:hAnsi="Verdana"/>
          <w:sz w:val="28"/>
          <w:szCs w:val="28"/>
          <w:shd w:val="clear" w:color="auto" w:fill="FFFFFF"/>
          <w:rtl w:val="0"/>
          <w:lang w:val="de-DE"/>
        </w:rPr>
        <w:t>SSTN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zh-TW" w:eastAsia="zh-TW"/>
        </w:rPr>
        <w:t>的效果。包含相同的</w:t>
      </w:r>
      <w:r>
        <w:rPr>
          <w:rFonts w:ascii="Verdana" w:hAnsi="Verdana"/>
          <w:sz w:val="28"/>
          <w:szCs w:val="28"/>
          <w:shd w:val="clear" w:color="auto" w:fill="FFFFFF"/>
          <w:rtl w:val="0"/>
          <w:lang w:val="de-DE"/>
        </w:rPr>
        <w:t>STN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zh-CN" w:eastAsia="zh-CN"/>
        </w:rPr>
        <w:t>及</w:t>
      </w:r>
      <w:r>
        <w:rPr>
          <w:rFonts w:ascii="Verdana" w:hAnsi="Verdana"/>
          <w:sz w:val="28"/>
          <w:szCs w:val="28"/>
          <w:shd w:val="clear" w:color="auto" w:fill="FFFFFF"/>
          <w:rtl w:val="0"/>
          <w:lang w:val="pt-PT"/>
        </w:rPr>
        <w:t>SPPE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zh-CN" w:eastAsia="zh-CN"/>
        </w:rPr>
        <w:t>（所有参数均被冻结），无</w:t>
      </w:r>
      <w:r>
        <w:rPr>
          <w:rFonts w:ascii="Verdana" w:hAnsi="Verdana"/>
          <w:sz w:val="28"/>
          <w:szCs w:val="28"/>
          <w:shd w:val="clear" w:color="auto" w:fill="FFFFFF"/>
          <w:rtl w:val="0"/>
        </w:rPr>
        <w:t>SDTN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zh-CN" w:eastAsia="zh-CN"/>
        </w:rPr>
        <w:t>。测试阶段无此模块。</w:t>
      </w: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sz w:val="28"/>
          <w:szCs w:val="28"/>
          <w:shd w:val="clear" w:color="auto" w:fill="FFFFFF"/>
          <w:rtl w:val="0"/>
        </w:rPr>
      </w:pPr>
      <w:r>
        <w:rPr>
          <w:rFonts w:ascii="Verdana" w:hAnsi="Verdana"/>
          <w:sz w:val="28"/>
          <w:szCs w:val="28"/>
          <w:shd w:val="clear" w:color="auto" w:fill="FFFFFF"/>
          <w:rtl w:val="0"/>
          <w:lang w:val="fr-FR"/>
        </w:rPr>
        <w:t>PGPG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shd w:val="clear" w:color="auto" w:fill="FFFFFF"/>
          <w:rtl w:val="0"/>
        </w:rPr>
        <w:t>（</w:t>
      </w:r>
      <w:r>
        <w:rPr>
          <w:rFonts w:ascii="Verdana" w:hAnsi="Verdana"/>
          <w:sz w:val="28"/>
          <w:szCs w:val="28"/>
          <w:shd w:val="clear" w:color="auto" w:fill="FFFFFF"/>
          <w:rtl w:val="0"/>
          <w:lang w:val="en-US"/>
        </w:rPr>
        <w:t>Pose-guided Proposals Generator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zh-CN" w:eastAsia="zh-CN"/>
        </w:rPr>
        <w:t>）：通过</w:t>
      </w:r>
      <w:r>
        <w:rPr>
          <w:rFonts w:ascii="Verdana" w:hAnsi="Verdana"/>
          <w:sz w:val="28"/>
          <w:szCs w:val="28"/>
          <w:shd w:val="clear" w:color="auto" w:fill="FFFFFF"/>
          <w:rtl w:val="0"/>
          <w:lang w:val="fr-FR"/>
        </w:rPr>
        <w:t>PGPG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zh-CN" w:eastAsia="zh-CN"/>
        </w:rPr>
        <w:t>网络得到训练图像，用来训练</w:t>
      </w:r>
      <w:r>
        <w:rPr>
          <w:rFonts w:ascii="Verdana" w:hAnsi="Verdana"/>
          <w:sz w:val="28"/>
          <w:szCs w:val="28"/>
          <w:shd w:val="clear" w:color="auto" w:fill="FFFFFF"/>
          <w:rtl w:val="0"/>
        </w:rPr>
        <w:t>SSTN+SPPE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sz w:val="28"/>
          <w:szCs w:val="28"/>
          <w:shd w:val="clear" w:color="auto" w:fill="FFFFFF"/>
          <w:rtl w:val="0"/>
          <w:lang w:val="zh-CN" w:eastAsia="zh-CN"/>
        </w:rPr>
        <w:t>模块。</w:t>
      </w:r>
      <w:r>
        <w:rPr>
          <w:rFonts w:ascii="Verdana" w:hAnsi="Verdana" w:eastAsia="Verdana" w:cs="Verdana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358140</wp:posOffset>
            </wp:positionV>
            <wp:extent cx="6120130" cy="1955165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55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</w:pPr>
      <w:r>
        <w:rPr>
          <w:rFonts w:ascii="Verdana" w:hAnsi="Verdana"/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</w:rPr>
        <w:t>MPII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</w:rPr>
        <w:t>数据集，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outline w:val="0"/>
          <w:color w:val="333333"/>
          <w:sz w:val="28"/>
          <w:szCs w:val="28"/>
          <w:shd w:val="clear" w:color="auto" w:fill="FFFFFF"/>
          <w:rtl w:val="0"/>
        </w:rPr>
        <w:t>在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</w:rPr>
        <w:t>检测手腕，肘部，踝关节和膝盖等困难关节时均达到更高的</w:t>
      </w:r>
      <w:r>
        <w:rPr>
          <w:rFonts w:ascii="Verdana" w:hAnsi="Verdana"/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</w:rPr>
        <w:t>mAP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</w:rPr>
        <w:t>。</w:t>
      </w:r>
      <w:r>
        <w:rPr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189230</wp:posOffset>
            </wp:positionH>
            <wp:positionV relativeFrom="line">
              <wp:posOffset>254000</wp:posOffset>
            </wp:positionV>
            <wp:extent cx="5727700" cy="3721100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21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</w:pPr>
      <w:r>
        <w:rPr>
          <w:rFonts w:ascii="Verdana" w:hAnsi="Verdana"/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</w:rPr>
        <w:t>COCO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</w:rPr>
        <w:t>数据集，效果好于</w:t>
      </w:r>
      <w:r>
        <w:rPr>
          <w:rFonts w:ascii="Verdana" w:hAnsi="Verdana"/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</w:rPr>
        <w:t>OpenPose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</w:rPr>
        <w:t>。</w:t>
      </w:r>
      <w:r>
        <w:rPr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254000</wp:posOffset>
            </wp:positionV>
            <wp:extent cx="6120130" cy="2187575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fficeArt objec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873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</w:rPr>
        <w:t>论证了三个创新模块的有效性。</w:t>
      </w: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</w:pP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</w:pP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</w:pP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outline w:val="0"/>
          <w:color w:val="333333"/>
          <w:sz w:val="28"/>
          <w:szCs w:val="28"/>
          <w:shd w:val="clear" w:color="auto" w:fill="FFFFFF"/>
          <w:rtl w:val="0"/>
          <w:lang w:val="zh-CN" w:eastAsia="zh-CN"/>
        </w:rPr>
        <w:t>参考文献</w:t>
      </w: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</w:pPr>
      <w:r>
        <w:rPr>
          <w:rStyle w:val="8"/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  <w:fldChar w:fldCharType="begin"/>
      </w:r>
      <w:r>
        <w:rPr>
          <w:rStyle w:val="8"/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  <w:instrText xml:space="preserve"> HYPERLINK "https://blog.csdn.net/TwT520Ly/article/details/79258594"</w:instrText>
      </w:r>
      <w:r>
        <w:rPr>
          <w:rStyle w:val="8"/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  <w:fldChar w:fldCharType="separate"/>
      </w:r>
      <w:r>
        <w:rPr>
          <w:rStyle w:val="8"/>
          <w:rFonts w:ascii="Verdana" w:hAnsi="Verdana"/>
          <w:outline w:val="0"/>
          <w:color w:val="333333"/>
          <w:sz w:val="28"/>
          <w:szCs w:val="28"/>
          <w:shd w:val="clear" w:color="auto" w:fill="FFFFFF"/>
          <w:rtl w:val="0"/>
          <w:lang w:val="en-US"/>
        </w:rPr>
        <w:t>https://blog.csdn.net/TwT520Ly/article/details/79258594</w:t>
      </w:r>
      <w:r>
        <w:rPr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  <w:fldChar w:fldCharType="end"/>
      </w: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</w:pPr>
      <w:r>
        <w:rPr>
          <w:rStyle w:val="8"/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  <w:fldChar w:fldCharType="begin"/>
      </w:r>
      <w:r>
        <w:rPr>
          <w:rStyle w:val="8"/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  <w:instrText xml:space="preserve"> HYPERLINK "https://www.cnblogs.com/taoshiqian/p/9593901.html"</w:instrText>
      </w:r>
      <w:r>
        <w:rPr>
          <w:rStyle w:val="8"/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  <w:fldChar w:fldCharType="separate"/>
      </w:r>
      <w:r>
        <w:rPr>
          <w:rStyle w:val="8"/>
          <w:rFonts w:ascii="Verdana" w:hAnsi="Verdana"/>
          <w:outline w:val="0"/>
          <w:color w:val="333333"/>
          <w:sz w:val="28"/>
          <w:szCs w:val="28"/>
          <w:shd w:val="clear" w:color="auto" w:fill="FFFFFF"/>
          <w:rtl w:val="0"/>
          <w:lang w:val="en-US"/>
        </w:rPr>
        <w:t>https://www.cnblogs.com/taoshiqian/p/9593901.html</w:t>
      </w:r>
      <w:r>
        <w:rPr>
          <w:rFonts w:ascii="Verdana" w:hAnsi="Verdana" w:eastAsia="Verdana" w:cs="Verdana"/>
          <w:outline w:val="0"/>
          <w:color w:val="333333"/>
          <w:sz w:val="28"/>
          <w:szCs w:val="28"/>
          <w:shd w:val="clear" w:color="auto" w:fill="FFFFFF"/>
          <w:rtl w:val="0"/>
        </w:rPr>
        <w:fldChar w:fldCharType="end"/>
      </w:r>
    </w:p>
    <w:p>
      <w:pPr>
        <w:pStyle w:val="7"/>
        <w:framePr w:w="0" w:hRule="auto" w:wrap="auto" w:vAnchor="margin" w:hAnchor="text" w:yAlign="inline"/>
        <w:bidi w:val="0"/>
        <w:spacing w:before="0"/>
        <w:ind w:left="0" w:right="0" w:firstLine="0"/>
        <w:jc w:val="left"/>
        <w:rPr>
          <w:rtl w:val="0"/>
        </w:rPr>
      </w:pPr>
      <w:r>
        <w:rPr>
          <w:rFonts w:ascii="Verdana" w:hAnsi="Verdana"/>
          <w:outline w:val="0"/>
          <w:color w:val="333333"/>
          <w:sz w:val="28"/>
          <w:szCs w:val="28"/>
          <w:shd w:val="clear" w:color="auto" w:fill="FFFFFF"/>
          <w:rtl w:val="0"/>
          <w:lang w:val="en-US"/>
        </w:rPr>
        <w:t>https://www.cnblogs.com/darkknightzh/p/12150171.html</w:t>
      </w:r>
    </w:p>
    <w:sectPr>
      <w:headerReference r:id="rId3" w:type="default"/>
      <w:footerReference r:id="rId4" w:type="default"/>
      <w:pgSz w:w="11906" w:h="16838"/>
      <w:pgMar w:top="1134" w:right="1134" w:bottom="1134" w:left="1134" w:header="709" w:footer="85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roman"/>
    <w:pitch w:val="default"/>
    <w:sig w:usb0="A00006FF" w:usb1="4000205B" w:usb2="0000001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 w:val="1"/>
  <w:bordersDoNotSurroundHeader w:val="0"/>
  <w:bordersDoNotSurroundFooter w:val="0"/>
  <w:documentProtection w:enforcement="0"/>
  <w:defaultTabStop w:val="720"/>
  <w:noLineBreaksAfter w:lang="zh-CN" w:val="‘“(〔[{〈《「『【⦅〘〖«〝︵︷︹︻︽︿﹁﹃﹇﹙﹛﹝｢"/>
  <w:noLineBreaksBefore w:lang="zh-CN" w:val="’”)〕]}〉"/>
  <w:compat>
    <w:useFELayout/>
    <w:compatSetting w:name="compatibilityMode" w:uri="http://schemas.microsoft.com/office/word" w:val="15"/>
  </w:compat>
  <w:rsids>
    <w:rsidRoot w:val="00000000"/>
    <w:rsid w:val="4FEF75A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Arial Unicode MS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keepNext w:val="0"/>
      <w:keepLines w:val="0"/>
      <w:pageBreakBefore w:val="0"/>
      <w:framePr w:w="0" w:hRule="auto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character" w:default="1" w:styleId="3">
    <w:name w:val="Default Paragraph Font"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uiPriority w:val="0"/>
    <w:rPr>
      <w:u w:val="single"/>
    </w:rPr>
  </w:style>
  <w:style w:type="table" w:customStyle="1" w:styleId="5">
    <w:name w:val="Table Normal"/>
    <w:qFormat/>
    <w:uiPriority w:val="0"/>
    <w:tbl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6">
    <w:name w:val="正文1"/>
    <w:qFormat/>
    <w:uiPriority w:val="0"/>
    <w:pPr>
      <w:keepNext w:val="0"/>
      <w:keepLines w:val="0"/>
      <w:pageBreakBefore w:val="0"/>
      <w:framePr w:w="0" w:hRule="auto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hint="eastAsia" w:ascii="Arial Unicode MS" w:hAnsi="Arial Unicode MS" w:eastAsia="Helvetica Neue" w:cs="Arial Unicode MS"/>
      <w:color w:val="000000"/>
      <w:spacing w:val="0"/>
      <w:w w:val="100"/>
      <w:kern w:val="0"/>
      <w:position w:val="0"/>
      <w:sz w:val="22"/>
      <w:szCs w:val="22"/>
      <w:u w:val="none" w:color="auto"/>
      <w:shd w:val="clear" w:color="auto" w:fill="auto"/>
      <w:vertAlign w:val="baseline"/>
      <w:lang w:val="zh-CN" w:eastAsia="zh-CN"/>
    </w:rPr>
  </w:style>
  <w:style w:type="paragraph" w:customStyle="1" w:styleId="7">
    <w:name w:val="默认"/>
    <w:uiPriority w:val="0"/>
    <w:pPr>
      <w:keepNext w:val="0"/>
      <w:keepLines w:val="0"/>
      <w:pageBreakBefore w:val="0"/>
      <w:framePr w:w="0" w:hRule="auto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60" w:beforeAutospacing="0" w:after="0" w:afterAutospacing="0" w:line="240" w:lineRule="auto"/>
      <w:ind w:left="0" w:right="0" w:firstLine="0"/>
      <w:jc w:val="left"/>
      <w:outlineLvl w:val="9"/>
    </w:pPr>
    <w:rPr>
      <w:rFonts w:hint="eastAsia" w:ascii="Arial Unicode MS" w:hAnsi="Arial Unicode MS" w:eastAsia="Helvetica Neue" w:cs="Arial Unicode MS"/>
      <w:color w:val="000000"/>
      <w:spacing w:val="0"/>
      <w:w w:val="100"/>
      <w:kern w:val="0"/>
      <w:position w:val="0"/>
      <w:sz w:val="24"/>
      <w:szCs w:val="24"/>
      <w:u w:val="none" w:color="auto"/>
      <w:shd w:val="clear" w:color="auto" w:fill="auto"/>
      <w:vertAlign w:val="baseline"/>
      <w:lang w:val="zh-CN" w:eastAsia="zh-CN"/>
    </w:rPr>
  </w:style>
  <w:style w:type="character" w:customStyle="1" w:styleId="8">
    <w:name w:val="Hyperlink.0"/>
    <w:basedOn w:val="4"/>
    <w:qFormat/>
    <w:uiPriority w:val="0"/>
    <w:rPr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tiff"/><Relationship Id="rId8" Type="http://schemas.openxmlformats.org/officeDocument/2006/relationships/image" Target="media/image3.tiff"/><Relationship Id="rId7" Type="http://schemas.openxmlformats.org/officeDocument/2006/relationships/image" Target="media/image2.tiff"/><Relationship Id="rId6" Type="http://schemas.openxmlformats.org/officeDocument/2006/relationships/image" Target="media/image1.tif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6.tiff"/><Relationship Id="rId10" Type="http://schemas.openxmlformats.org/officeDocument/2006/relationships/image" Target="media/image5.tif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64</TotalTime>
  <ScaleCrop>false</ScaleCrop>
  <LinksUpToDate>false</LinksUpToDate>
  <Application>WPS Office_11.1.0.9912_F1E327BC-269C-435d-A152-05C5408002CA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2020-08-31T06:44:03Z</dcterms:created>
  <dc:creator>hans_</dc:creator>
  <cp:lastModifiedBy>hans_</cp:lastModifiedBy>
  <dcterms:modified xsi:type="dcterms:W3CDTF">2020-08-31T07:48:35Z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