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00011O/UC-BMA/ST/III/2024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</w:t>
            </w:r>
          </w:p>
        </w:tc>
        <w:tc>
          <w:tcPr>
            <w:tcW w:type="dxa" w:w="2268"/>
          </w:tcPr>
          <w:p>
            <w:r>
              <w:t xml:space="preserve"> 0706039201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KHAIZURAN ASYRAAF RABBANI</w:t>
            </w:r>
          </w:p>
        </w:tc>
        <w:tc>
          <w:tcPr>
            <w:tcW w:type="dxa" w:w="2268"/>
          </w:tcPr>
          <w:p>
            <w:r>
              <w:tab/>
              <w:t>0106012110176</w:t>
            </w:r>
          </w:p>
        </w:tc>
        <w:tc>
          <w:tcPr>
            <w:tcW w:type="dxa" w:w="2410"/>
          </w:tcPr>
          <w:p>
            <w:r>
              <w:t>IBM IC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HARDIKNAS Public Speaking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Jumat/18 Maret 2024 - 03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