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00011T/UC-BMA/ST/III/2024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 Gusti Bagus Yosia Wiryakusuma, S.Si., M.M., AWP.</w:t>
            </w:r>
          </w:p>
        </w:tc>
        <w:tc>
          <w:tcPr>
            <w:tcW w:type="dxa" w:w="2268"/>
          </w:tcPr>
          <w:p>
            <w:r>
              <w:t>706039201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Steven Setiawan Djorgi</w:t>
            </w:r>
          </w:p>
        </w:tc>
        <w:tc>
          <w:tcPr>
            <w:tcW w:type="dxa" w:w="2268"/>
          </w:tcPr>
          <w:p>
            <w:r>
              <w:t>206042310110</w:t>
            </w:r>
          </w:p>
        </w:tc>
        <w:tc>
          <w:tcPr>
            <w:tcW w:type="dxa" w:w="2410"/>
          </w:tcPr>
          <w:p>
            <w:r>
              <w:t>VCD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Colour4Life Competition (Faber Castell)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Selasa - Selasa/28 Mei 2024 - 28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28 Mei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