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101E/UC-BMA/ST/XI/2023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Helena Sidharta</w:t>
            </w:r>
          </w:p>
        </w:tc>
        <w:tc>
          <w:tcPr>
            <w:tcW w:type="dxa" w:w="2268"/>
          </w:tcPr>
          <w:p>
            <w:r>
              <w:t>717078204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Leo Halim Wijaya</w:t>
            </w:r>
          </w:p>
        </w:tc>
        <w:tc>
          <w:tcPr>
            <w:tcW w:type="dxa" w:w="2268"/>
          </w:tcPr>
          <w:p>
            <w:r>
              <w:t>106012310055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Hosea Obrient Hermawan</w:t>
            </w:r>
          </w:p>
        </w:tc>
        <w:tc>
          <w:tcPr>
            <w:tcW w:type="dxa" w:w="2268"/>
          </w:tcPr>
          <w:p>
            <w:r>
              <w:t>106012310323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Kevin Chandra Dermawan</w:t>
            </w:r>
          </w:p>
        </w:tc>
        <w:tc>
          <w:tcPr>
            <w:tcW w:type="dxa" w:w="2268"/>
          </w:tcPr>
          <w:p>
            <w:r>
              <w:t>106012310092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PMCC UC 2023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Selasa/07 Mei 2024 - 07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07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