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421CAE" w:rsidP="000D3162">
      <w:pPr>
        <w:pStyle w:val="Listenabsatz"/>
        <w:numPr>
          <w:ilvl w:val="0"/>
          <w:numId w:val="1"/>
        </w:numPr>
        <w:spacing w:after="0" w:line="20" w:lineRule="atLeast"/>
      </w:pPr>
      <w:r>
        <w:t>Starter, ggT-Prozess</w:t>
      </w:r>
    </w:p>
    <w:p w:rsidR="000D3162" w:rsidRDefault="00421CAE" w:rsidP="000D3162">
      <w:pPr>
        <w:pStyle w:val="Listenabsatz"/>
        <w:numPr>
          <w:ilvl w:val="0"/>
          <w:numId w:val="1"/>
        </w:numPr>
        <w:spacing w:after="0" w:line="20" w:lineRule="atLeast"/>
      </w:pPr>
      <w:r>
        <w:t>Koordinator</w:t>
      </w:r>
    </w:p>
    <w:p w:rsidR="00421CAE" w:rsidRPr="00C7289A" w:rsidRDefault="00421CAE" w:rsidP="00421CAE">
      <w:pPr>
        <w:spacing w:after="0" w:line="20" w:lineRule="atLeast"/>
        <w:ind w:left="360"/>
      </w:pPr>
      <w:bookmarkStart w:id="0" w:name="_GoBack"/>
      <w:bookmarkEnd w:id="0"/>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421CAE"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421CAE"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Default="000D3162" w:rsidP="00DB74E3">
      <w:pPr>
        <w:spacing w:after="0" w:line="20" w:lineRule="atLeast"/>
        <w:rPr>
          <w:rFonts w:cs="Tahoma"/>
        </w:rPr>
      </w:pPr>
      <w:r w:rsidRPr="00C7289A">
        <w:rPr>
          <w:b/>
        </w:rPr>
        <w:t>Aktueller Stand</w:t>
      </w:r>
      <w:r w:rsidRPr="00C7289A">
        <w:t xml:space="preserve">: </w:t>
      </w:r>
      <w:r w:rsidR="009E213A" w:rsidRPr="00C7289A">
        <w:br/>
      </w:r>
      <w:r w:rsidR="00BF48E0">
        <w:rPr>
          <w:rFonts w:cs="Tahoma"/>
        </w:rPr>
        <w:t>Entwurf und Diagramme fertig.</w:t>
      </w:r>
    </w:p>
    <w:p w:rsidR="00493F45" w:rsidRPr="00C7289A" w:rsidRDefault="00493F45" w:rsidP="00DB74E3">
      <w:pPr>
        <w:spacing w:after="0" w:line="20" w:lineRule="atLeast"/>
      </w:pPr>
      <w:r>
        <w:rPr>
          <w:rFonts w:cs="Tahoma"/>
        </w:rPr>
        <w:t>Bereit für Implementierung.</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xml:space="preserve">: </w:t>
      </w:r>
      <w:r w:rsidR="001927A8">
        <w:t>-</w:t>
      </w:r>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75289" w:rsidP="00F75289">
      <w:pPr>
        <w:spacing w:after="0" w:line="20" w:lineRule="atLeast"/>
      </w:pPr>
      <w:r w:rsidRPr="00C7289A">
        <w:t xml:space="preserve">Zu einem eine </w:t>
      </w:r>
      <w:r w:rsidR="005B1C7B">
        <w:t xml:space="preserve">Peer-to-Peer </w:t>
      </w:r>
      <w:r w:rsidRPr="00C7289A">
        <w:t>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r w:rsidR="00163DA2">
        <w:t xml:space="preserve"> Doch auch der Koordinator (client) und der Nameservice (server) kommunizieren so.</w:t>
      </w: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lastRenderedPageBreak/>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bei 20% </w:t>
      </w:r>
      <w:r w:rsidR="00541BFF">
        <w:t xml:space="preserve">(oder min. 2) der Knoten deren Mi an deren Nachbarn gesendet </w:t>
      </w:r>
      <w:r w:rsidR="00B913AA">
        <w:t>um so</w:t>
      </w:r>
      <w:r w:rsidR="00541BFF">
        <w:t xml:space="preserve"> die Berechnung anzustoßen.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lastRenderedPageBreak/>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Default="0014543F" w:rsidP="0014543F">
      <w:pPr>
        <w:spacing w:after="0" w:line="20" w:lineRule="atLeast"/>
        <w:ind w:left="705"/>
      </w:pPr>
    </w:p>
    <w:p w:rsidR="00C206E6" w:rsidRDefault="00C206E6" w:rsidP="00C206E6">
      <w:pPr>
        <w:spacing w:after="0" w:line="20" w:lineRule="atLeast"/>
      </w:pPr>
      <w:r>
        <w:rPr>
          <w:noProof/>
        </w:rPr>
        <w:lastRenderedPageBreak/>
        <w:drawing>
          <wp:inline distT="0" distB="0" distL="0" distR="0" wp14:anchorId="3A2B3491" wp14:editId="268C72F9">
            <wp:extent cx="6642100" cy="5303520"/>
            <wp:effectExtent l="0" t="0" r="6350" b="0"/>
            <wp:docPr id="2" name="Grafik 2" descr="C:\Users\Michael\Desktop\Fachliches Sequenzdiagram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Fachliches Sequenzdiagramm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5303520"/>
                    </a:xfrm>
                    <a:prstGeom prst="rect">
                      <a:avLst/>
                    </a:prstGeom>
                    <a:noFill/>
                    <a:ln>
                      <a:noFill/>
                    </a:ln>
                  </pic:spPr>
                </pic:pic>
              </a:graphicData>
            </a:graphic>
          </wp:inline>
        </w:drawing>
      </w:r>
    </w:p>
    <w:p w:rsidR="00C206E6" w:rsidRPr="00C7289A" w:rsidRDefault="00C206E6"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Default="0014543F" w:rsidP="00892E83">
      <w:pPr>
        <w:pStyle w:val="Listenabsatz"/>
        <w:numPr>
          <w:ilvl w:val="0"/>
          <w:numId w:val="8"/>
        </w:numPr>
        <w:spacing w:after="0" w:line="20" w:lineRule="atLeast"/>
        <w:ind w:left="1770"/>
      </w:pPr>
      <w:r w:rsidRPr="00C7289A">
        <w:t>Danach geht der wieder in den normalen Berechnungszustand über.</w:t>
      </w:r>
    </w:p>
    <w:p w:rsidR="00C206E6" w:rsidRDefault="00C206E6" w:rsidP="00C206E6">
      <w:pPr>
        <w:spacing w:after="0" w:line="20" w:lineRule="atLeast"/>
      </w:pPr>
      <w:r>
        <w:rPr>
          <w:noProof/>
        </w:rPr>
        <w:lastRenderedPageBreak/>
        <w:drawing>
          <wp:inline distT="0" distB="0" distL="0" distR="0" wp14:anchorId="7787217B" wp14:editId="161C5808">
            <wp:extent cx="6627495" cy="4323080"/>
            <wp:effectExtent l="0" t="0" r="1905" b="1270"/>
            <wp:docPr id="1" name="Grafik 1" descr="C:\Users\Michael\Desktop\Fachliches Sequenzdiagram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Fachliches Sequenzdiagramm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95" cy="4323080"/>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rPr>
          <w:b/>
          <w:sz w:val="24"/>
          <w:szCs w:val="24"/>
        </w:rPr>
      </w:pPr>
      <w:r w:rsidRPr="00C206E6">
        <w:rPr>
          <w:b/>
          <w:sz w:val="24"/>
          <w:szCs w:val="24"/>
        </w:rPr>
        <w:t>Weitere</w:t>
      </w:r>
      <w:r w:rsidR="00D959A6">
        <w:rPr>
          <w:b/>
          <w:sz w:val="24"/>
          <w:szCs w:val="24"/>
        </w:rPr>
        <w:t>s</w:t>
      </w:r>
      <w:r w:rsidRPr="00C206E6">
        <w:rPr>
          <w:b/>
          <w:sz w:val="24"/>
          <w:szCs w:val="24"/>
        </w:rPr>
        <w:t xml:space="preserve"> Diagramme zur Visualisierung von</w:t>
      </w:r>
      <w:r w:rsidR="00D959A6">
        <w:rPr>
          <w:b/>
          <w:sz w:val="24"/>
          <w:szCs w:val="24"/>
        </w:rPr>
        <w:t xml:space="preserve"> den Phasen und deren Übergängen</w:t>
      </w:r>
      <w:r w:rsidRPr="00C206E6">
        <w:rPr>
          <w:b/>
          <w:sz w:val="24"/>
          <w:szCs w:val="24"/>
        </w:rPr>
        <w:t>:</w:t>
      </w:r>
    </w:p>
    <w:p w:rsidR="00C206E6" w:rsidRDefault="00C206E6" w:rsidP="00C206E6">
      <w:pPr>
        <w:spacing w:after="0" w:line="20" w:lineRule="atLeast"/>
      </w:pPr>
    </w:p>
    <w:p w:rsidR="00C206E6" w:rsidRDefault="00C206E6" w:rsidP="00C206E6">
      <w:pPr>
        <w:spacing w:after="0" w:line="20" w:lineRule="atLeast"/>
      </w:pPr>
    </w:p>
    <w:p w:rsidR="00C206E6" w:rsidRPr="00781AA2" w:rsidRDefault="00C206E6" w:rsidP="00C206E6">
      <w:pPr>
        <w:spacing w:after="0" w:line="20" w:lineRule="atLeast"/>
      </w:pPr>
      <w:r>
        <w:rPr>
          <w:noProof/>
        </w:rPr>
        <w:drawing>
          <wp:inline distT="0" distB="0" distL="0" distR="0">
            <wp:extent cx="6642100" cy="3240405"/>
            <wp:effectExtent l="0" t="0" r="6350" b="0"/>
            <wp:docPr id="5" name="Grafik 5" descr="C:\Users\Michael\Desktop\Fachliches Sequenzdiagram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Fachliches Sequenzdiagramme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240405"/>
                    </a:xfrm>
                    <a:prstGeom prst="rect">
                      <a:avLst/>
                    </a:prstGeom>
                    <a:noFill/>
                    <a:ln>
                      <a:noFill/>
                    </a:ln>
                  </pic:spPr>
                </pic:pic>
              </a:graphicData>
            </a:graphic>
          </wp:inline>
        </w:drawing>
      </w:r>
    </w:p>
    <w:sectPr w:rsidR="00C206E6"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B5821"/>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3DA2"/>
    <w:rsid w:val="00165F1F"/>
    <w:rsid w:val="00171188"/>
    <w:rsid w:val="00177539"/>
    <w:rsid w:val="00180C12"/>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1CAE"/>
    <w:rsid w:val="00424E7D"/>
    <w:rsid w:val="004271CD"/>
    <w:rsid w:val="00431B2C"/>
    <w:rsid w:val="00431E1C"/>
    <w:rsid w:val="004340A9"/>
    <w:rsid w:val="0044224F"/>
    <w:rsid w:val="004454C9"/>
    <w:rsid w:val="00473120"/>
    <w:rsid w:val="004825D7"/>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41BFF"/>
    <w:rsid w:val="00551907"/>
    <w:rsid w:val="005678E2"/>
    <w:rsid w:val="00572B02"/>
    <w:rsid w:val="00573493"/>
    <w:rsid w:val="005901C2"/>
    <w:rsid w:val="005A3200"/>
    <w:rsid w:val="005B1C7B"/>
    <w:rsid w:val="005C1361"/>
    <w:rsid w:val="005D15F8"/>
    <w:rsid w:val="005D5496"/>
    <w:rsid w:val="005D70DE"/>
    <w:rsid w:val="005F6246"/>
    <w:rsid w:val="0061218A"/>
    <w:rsid w:val="006207F3"/>
    <w:rsid w:val="00622604"/>
    <w:rsid w:val="006267E8"/>
    <w:rsid w:val="0063377C"/>
    <w:rsid w:val="0067178E"/>
    <w:rsid w:val="00676EFA"/>
    <w:rsid w:val="00687FDD"/>
    <w:rsid w:val="00691473"/>
    <w:rsid w:val="00691B21"/>
    <w:rsid w:val="006A1D54"/>
    <w:rsid w:val="006B4D22"/>
    <w:rsid w:val="006C1764"/>
    <w:rsid w:val="006C2D88"/>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B4C19"/>
    <w:rsid w:val="008C48C6"/>
    <w:rsid w:val="008C66BD"/>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913AA"/>
    <w:rsid w:val="00B96172"/>
    <w:rsid w:val="00BC3365"/>
    <w:rsid w:val="00BD0F26"/>
    <w:rsid w:val="00BD5E81"/>
    <w:rsid w:val="00BE4994"/>
    <w:rsid w:val="00BE4EE8"/>
    <w:rsid w:val="00BF04C7"/>
    <w:rsid w:val="00BF48E0"/>
    <w:rsid w:val="00BF4B3D"/>
    <w:rsid w:val="00BF5AAF"/>
    <w:rsid w:val="00C134B1"/>
    <w:rsid w:val="00C205B0"/>
    <w:rsid w:val="00C206E6"/>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959A6"/>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E41E"/>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1151-C9DA-43E4-B282-72A93699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2314</Words>
  <Characters>14581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260</cp:revision>
  <dcterms:created xsi:type="dcterms:W3CDTF">2016-09-05T10:56:00Z</dcterms:created>
  <dcterms:modified xsi:type="dcterms:W3CDTF">2018-04-18T13:43:00Z</dcterms:modified>
</cp:coreProperties>
</file>