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left"/>
      </w:pPr>
      <w:r>
        <w:t>C. Risk-Aware Portfolio Allocation Engine</w:t>
      </w:r>
    </w:p>
    <w:p>
      <w:r>
        <w:t>The allocation engine represents the final integration layer that combines behavioral risk profiling with technical market forecasting to generate personalized portfolio allocations. This module operationalizes the core thesis of the paper: that investor-specific risk tolerance and market-derived opportunity signals must be synthesized jointly rather than sequentially to achieve optimal portfolio construction.</w:t>
      </w:r>
    </w:p>
    <w:p>
      <w:pPr>
        <w:pStyle w:val="Heading3"/>
      </w:pPr>
      <w:r>
        <w:t>C.1 System Architecture and Data Flow</w:t>
      </w:r>
    </w:p>
    <w:p>
      <w:r>
        <w:t>The allocation engine operates through a multi-stage pipeline that progressively refines a candidate stock universe into a final portfolio allocation:</w:t>
      </w:r>
    </w:p>
    <w:p>
      <w:pPr>
        <w:pStyle w:val="ListNumber"/>
      </w:pPr>
      <w:r>
        <w:rPr>
          <w:b/>
        </w:rPr>
        <w:t xml:space="preserve">Stage 1: Quality Filtering: </w:t>
      </w:r>
      <w:r>
        <w:t>Candidate stocks are filtered based on minimum investability criteria, including technical score thresholds (≥45), positive signal classification (NEUTRAL or above), and data quality requirements.</w:t>
      </w:r>
    </w:p>
    <w:p>
      <w:pPr>
        <w:pStyle w:val="ListNumber"/>
      </w:pPr>
      <w:r>
        <w:rPr>
          <w:b/>
        </w:rPr>
        <w:t xml:space="preserve">Stage 2: Risk-Based Selection: </w:t>
      </w:r>
      <w:r>
        <w:t>The filtered stock universe is pruned according to investor risk characteristics. Conservative profiles receive smaller, higher-quality portfolios, while aggressive profiles can accommodate larger, more diverse holdings.</w:t>
      </w:r>
    </w:p>
    <w:p>
      <w:pPr>
        <w:pStyle w:val="ListNumber"/>
      </w:pPr>
      <w:r>
        <w:rPr>
          <w:b/>
        </w:rPr>
        <w:t xml:space="preserve">Stage 3: Technical Weighting: </w:t>
      </w:r>
      <w:r>
        <w:t>Initial portfolio weights are calculated using exponential transformation of technical scores, with power factor γ = 2.0 to create appropriate concentration in top-ranked opportunities.</w:t>
      </w:r>
    </w:p>
    <w:p>
      <w:pPr>
        <w:pStyle w:val="ListNumber"/>
      </w:pPr>
      <w:r>
        <w:rPr>
          <w:b/>
        </w:rPr>
        <w:t xml:space="preserve">Stage 4: Risk Adjustment: </w:t>
      </w:r>
      <w:r>
        <w:t>Base weights undergo three modifications: (a) uncertainty penalty scaled by risk tolerance, (b) signal strength amplification for high-conviction opportunities, and (c) model confidence scaling.</w:t>
      </w:r>
    </w:p>
    <w:p>
      <w:pPr>
        <w:pStyle w:val="ListNumber"/>
      </w:pPr>
      <w:r>
        <w:rPr>
          <w:b/>
        </w:rPr>
        <w:t xml:space="preserve">Stage 5: Constraint Application: </w:t>
      </w:r>
      <w:r>
        <w:t>Risk-adjusted weights are constrained by investor-specific concentration limits (10%-30% per position depending on risk score) and minimum position sizes (5%).</w:t>
      </w:r>
    </w:p>
    <w:p>
      <w:pPr>
        <w:pStyle w:val="ListNumber"/>
      </w:pPr>
      <w:r>
        <w:rPr>
          <w:b/>
        </w:rPr>
        <w:t xml:space="preserve">Stage 6: Capital Allocation: </w:t>
      </w:r>
      <w:r>
        <w:t>Final weights are scaled by maximum equity exposure determined by risk score, with remainder allocated to risk-free cash position.</w:t>
      </w:r>
    </w:p>
    <w:p>
      <w:pPr>
        <w:pStyle w:val="Heading3"/>
      </w:pPr>
      <w:r>
        <w:t>C.2 Risk Profile Integration Mechanism</w:t>
      </w:r>
    </w:p>
    <w:p>
      <w:r>
        <w:t>The investor risk score (0-100 scale) generated by the behavioral profiling module directly parameterizes multiple allocation decisions: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Risk Score Range</w:t>
            </w:r>
          </w:p>
        </w:tc>
        <w:tc>
          <w:tcPr>
            <w:tcW w:type="dxa" w:w="1728"/>
          </w:tcPr>
          <w:p>
            <w:r>
              <w:rPr>
                <w:b/>
              </w:rPr>
              <w:t>Category</w:t>
            </w:r>
          </w:p>
        </w:tc>
        <w:tc>
          <w:tcPr>
            <w:tcW w:type="dxa" w:w="1728"/>
          </w:tcPr>
          <w:p>
            <w:r>
              <w:rPr>
                <w:b/>
              </w:rPr>
              <w:t>Max Equity</w:t>
            </w:r>
          </w:p>
        </w:tc>
        <w:tc>
          <w:tcPr>
            <w:tcW w:type="dxa" w:w="1728"/>
          </w:tcPr>
          <w:p>
            <w:r>
              <w:rPr>
                <w:b/>
              </w:rPr>
              <w:t>Concentration Limit</w:t>
            </w:r>
          </w:p>
        </w:tc>
        <w:tc>
          <w:tcPr>
            <w:tcW w:type="dxa" w:w="1728"/>
          </w:tcPr>
          <w:p>
            <w:r>
              <w:rPr>
                <w:b/>
              </w:rPr>
              <w:t>Min Holdings</w:t>
            </w:r>
          </w:p>
        </w:tc>
      </w:tr>
      <w:tr>
        <w:tc>
          <w:tcPr>
            <w:tcW w:type="dxa" w:w="1728"/>
          </w:tcPr>
          <w:p>
            <w:r>
              <w:t>0-20</w:t>
            </w:r>
          </w:p>
        </w:tc>
        <w:tc>
          <w:tcPr>
            <w:tcW w:type="dxa" w:w="1728"/>
          </w:tcPr>
          <w:p>
            <w:r>
              <w:t>Conservative</w:t>
            </w:r>
          </w:p>
        </w:tc>
        <w:tc>
          <w:tcPr>
            <w:tcW w:type="dxa" w:w="1728"/>
          </w:tcPr>
          <w:p>
            <w:r>
              <w:t>40%</w:t>
            </w:r>
          </w:p>
        </w:tc>
        <w:tc>
          <w:tcPr>
            <w:tcW w:type="dxa" w:w="1728"/>
          </w:tcPr>
          <w:p>
            <w:r>
              <w:t>10%</w:t>
            </w:r>
          </w:p>
        </w:tc>
        <w:tc>
          <w:tcPr>
            <w:tcW w:type="dxa" w:w="1728"/>
          </w:tcPr>
          <w:p>
            <w:r>
              <w:t>6</w:t>
            </w:r>
          </w:p>
        </w:tc>
      </w:tr>
      <w:tr>
        <w:tc>
          <w:tcPr>
            <w:tcW w:type="dxa" w:w="1728"/>
          </w:tcPr>
          <w:p>
            <w:r>
              <w:t>20-35</w:t>
            </w:r>
          </w:p>
        </w:tc>
        <w:tc>
          <w:tcPr>
            <w:tcW w:type="dxa" w:w="1728"/>
          </w:tcPr>
          <w:p>
            <w:r>
              <w:t>Conservative-Moderate</w:t>
            </w:r>
          </w:p>
        </w:tc>
        <w:tc>
          <w:tcPr>
            <w:tcW w:type="dxa" w:w="1728"/>
          </w:tcPr>
          <w:p>
            <w:r>
              <w:t>55%</w:t>
            </w:r>
          </w:p>
        </w:tc>
        <w:tc>
          <w:tcPr>
            <w:tcW w:type="dxa" w:w="1728"/>
          </w:tcPr>
          <w:p>
            <w:r>
              <w:t>15%</w:t>
            </w:r>
          </w:p>
        </w:tc>
        <w:tc>
          <w:tcPr>
            <w:tcW w:type="dxa" w:w="1728"/>
          </w:tcPr>
          <w:p>
            <w:r>
              <w:t>8</w:t>
            </w:r>
          </w:p>
        </w:tc>
      </w:tr>
      <w:tr>
        <w:tc>
          <w:tcPr>
            <w:tcW w:type="dxa" w:w="1728"/>
          </w:tcPr>
          <w:p>
            <w:r>
              <w:t>35-50</w:t>
            </w:r>
          </w:p>
        </w:tc>
        <w:tc>
          <w:tcPr>
            <w:tcW w:type="dxa" w:w="1728"/>
          </w:tcPr>
          <w:p>
            <w:r>
              <w:t>Moderate</w:t>
            </w:r>
          </w:p>
        </w:tc>
        <w:tc>
          <w:tcPr>
            <w:tcW w:type="dxa" w:w="1728"/>
          </w:tcPr>
          <w:p>
            <w:r>
              <w:t>70%</w:t>
            </w:r>
          </w:p>
        </w:tc>
        <w:tc>
          <w:tcPr>
            <w:tcW w:type="dxa" w:w="1728"/>
          </w:tcPr>
          <w:p>
            <w:r>
              <w:t>20%</w:t>
            </w:r>
          </w:p>
        </w:tc>
        <w:tc>
          <w:tcPr>
            <w:tcW w:type="dxa" w:w="1728"/>
          </w:tcPr>
          <w:p>
            <w:r>
              <w:t>10</w:t>
            </w:r>
          </w:p>
        </w:tc>
      </w:tr>
      <w:tr>
        <w:tc>
          <w:tcPr>
            <w:tcW w:type="dxa" w:w="1728"/>
          </w:tcPr>
          <w:p>
            <w:r>
              <w:t>50-70</w:t>
            </w:r>
          </w:p>
        </w:tc>
        <w:tc>
          <w:tcPr>
            <w:tcW w:type="dxa" w:w="1728"/>
          </w:tcPr>
          <w:p>
            <w:r>
              <w:t>Moderate-Aggressive</w:t>
            </w:r>
          </w:p>
        </w:tc>
        <w:tc>
          <w:tcPr>
            <w:tcW w:type="dxa" w:w="1728"/>
          </w:tcPr>
          <w:p>
            <w:r>
              <w:t>85%</w:t>
            </w:r>
          </w:p>
        </w:tc>
        <w:tc>
          <w:tcPr>
            <w:tcW w:type="dxa" w:w="1728"/>
          </w:tcPr>
          <w:p>
            <w:r>
              <w:t>25%</w:t>
            </w:r>
          </w:p>
        </w:tc>
        <w:tc>
          <w:tcPr>
            <w:tcW w:type="dxa" w:w="1728"/>
          </w:tcPr>
          <w:p>
            <w:r>
              <w:t>12</w:t>
            </w:r>
          </w:p>
        </w:tc>
      </w:tr>
      <w:tr>
        <w:tc>
          <w:tcPr>
            <w:tcW w:type="dxa" w:w="1728"/>
          </w:tcPr>
          <w:p>
            <w:r>
              <w:t>70-100</w:t>
            </w:r>
          </w:p>
        </w:tc>
        <w:tc>
          <w:tcPr>
            <w:tcW w:type="dxa" w:w="1728"/>
          </w:tcPr>
          <w:p>
            <w:r>
              <w:t>Aggressive</w:t>
            </w:r>
          </w:p>
        </w:tc>
        <w:tc>
          <w:tcPr>
            <w:tcW w:type="dxa" w:w="1728"/>
          </w:tcPr>
          <w:p>
            <w:r>
              <w:t>95%</w:t>
            </w:r>
          </w:p>
        </w:tc>
        <w:tc>
          <w:tcPr>
            <w:tcW w:type="dxa" w:w="1728"/>
          </w:tcPr>
          <w:p>
            <w:r>
              <w:t>30%</w:t>
            </w:r>
          </w:p>
        </w:tc>
        <w:tc>
          <w:tcPr>
            <w:tcW w:type="dxa" w:w="1728"/>
          </w:tcPr>
          <w:p>
            <w:r>
              <w:t>15</w:t>
            </w:r>
          </w:p>
        </w:tc>
      </w:tr>
    </w:tbl>
    <w:p/>
    <w:p>
      <w:r>
        <w:t>Maximum equity exposure follows a non-linear transformation to reflect asymmetric risk capacity:</w:t>
      </w:r>
    </w:p>
    <w:p>
      <w:pPr>
        <w:jc w:val="center"/>
      </w:pPr>
      <w:r>
        <w:rPr>
          <w:i/>
          <w:sz w:val="22"/>
        </w:rPr>
        <w:t>E_max = min(0.95, (R/100)^0.8)</w:t>
      </w:r>
    </w:p>
    <w:p>
      <w:r>
        <w:t xml:space="preserve">where </w:t>
      </w:r>
      <w:r>
        <w:rPr>
          <w:i/>
        </w:rPr>
        <w:t>R</w:t>
      </w:r>
      <w:r>
        <w:t xml:space="preserve"> represents the investor risk score. This formulation ensures conservative investors face substantially reduced equity limits (e.g., R=20 → E_max=0.40) while aggressive profiles approach full market exposure.</w:t>
      </w:r>
    </w:p>
    <w:p>
      <w:pPr>
        <w:pStyle w:val="Heading3"/>
      </w:pPr>
      <w:r>
        <w:t>C.3 Technical Score Utilization</w:t>
      </w:r>
    </w:p>
    <w:p>
      <w:r>
        <w:t>Technical scores from the forecasting module serve dual purposes: stock ranking and weight determination. The base weighting mechanism applies exponential transformation to normalized technical scores:</w:t>
      </w:r>
    </w:p>
    <w:p>
      <w:pPr>
        <w:jc w:val="center"/>
      </w:pPr>
      <w:r>
        <w:rPr>
          <w:i/>
          <w:sz w:val="22"/>
        </w:rPr>
        <w:t>w_i^base = (S_i/100)^γ / Σ_j(S_j/100)^γ</w:t>
      </w:r>
    </w:p>
    <w:p>
      <w:r>
        <w:t xml:space="preserve">where </w:t>
      </w:r>
      <w:r>
        <w:rPr>
          <w:i/>
        </w:rPr>
        <w:t>S_i</w:t>
      </w:r>
      <w:r>
        <w:t xml:space="preserve"> denotes the technical score for stock </w:t>
      </w:r>
      <w:r>
        <w:rPr>
          <w:i/>
        </w:rPr>
        <w:t>i</w:t>
      </w:r>
      <w:r>
        <w:t xml:space="preserve"> and </w:t>
      </w:r>
      <w:r>
        <w:rPr>
          <w:i/>
        </w:rPr>
        <w:t>γ = 2.0</w:t>
      </w:r>
      <w:r>
        <w:t xml:space="preserve"> is the power factor. This exponential mapping creates natural concentration favoring top performers while maintaining diversification across the selected universe.</w:t>
      </w:r>
    </w:p>
    <w:p>
      <w:pPr>
        <w:pStyle w:val="Heading3"/>
      </w:pPr>
      <w:r>
        <w:t>C.4 Risk-Adjusted Weight Modifications</w:t>
      </w:r>
    </w:p>
    <w:p>
      <w:r>
        <w:t>Base weights undergo three sequential adjustments that reflect both investor characteristics and prediction quality:</w:t>
      </w:r>
    </w:p>
    <w:p>
      <w:pPr>
        <w:pStyle w:val="Heading4"/>
      </w:pPr>
      <w:r>
        <w:t>C.4.1 Uncertainty Penalty</w:t>
      </w:r>
    </w:p>
    <w:p>
      <w:r>
        <w:t xml:space="preserve">Prediction uncertainty </w:t>
      </w:r>
      <w:r>
        <w:rPr>
          <w:i/>
        </w:rPr>
        <w:t>U_i</w:t>
      </w:r>
      <w:r>
        <w:t xml:space="preserve"> (reported as standard deviation of ensemble predictions) reduces allocation proportionally:</w:t>
      </w:r>
    </w:p>
    <w:p>
      <w:pPr>
        <w:jc w:val="center"/>
      </w:pPr>
      <w:r>
        <w:rPr>
          <w:i/>
          <w:sz w:val="22"/>
        </w:rPr>
        <w:t>P_uncertainty = max(0.5, 1 - (U_i/100) × (1 - R/100))</w:t>
      </w:r>
    </w:p>
    <w:p>
      <w:r>
        <w:t xml:space="preserve">This formulation applies stricter penalties for conservative investors (lower </w:t>
      </w:r>
      <w:r>
        <w:rPr>
          <w:i/>
        </w:rPr>
        <w:t>R</w:t>
      </w:r>
      <w:r>
        <w:t>) while aggressive investors tolerate higher uncertainty. The 0.5 floor ensures no position is reduced by more than 50% due to uncertainty alone.</w:t>
      </w:r>
    </w:p>
    <w:p>
      <w:pPr>
        <w:pStyle w:val="Heading4"/>
      </w:pPr>
      <w:r>
        <w:t>C.4.2 Signal Strength Amplification</w:t>
      </w:r>
    </w:p>
    <w:p>
      <w:r>
        <w:t>Strong buy signals (technical score &gt; 75) receive amplification factors that depend on investor risk tolerance:</w:t>
      </w:r>
    </w:p>
    <w:p>
      <w:pPr>
        <w:jc w:val="center"/>
      </w:pPr>
      <w:r>
        <w:rPr>
          <w:i/>
          <w:sz w:val="20"/>
        </w:rPr>
        <w:t>P_signal = {1.10 if R ≥ 50, 1.05 if R &lt; 50} for STRONG BUY signals</w:t>
      </w:r>
    </w:p>
    <w:p>
      <w:r>
        <w:t>Weak buy signals receive modest reduction (P_signal = 0.95) regardless of risk profile, reflecting lower conviction.</w:t>
      </w:r>
    </w:p>
    <w:p>
      <w:pPr>
        <w:pStyle w:val="Heading4"/>
      </w:pPr>
      <w:r>
        <w:t>C.4.3 Confidence Scaling</w:t>
      </w:r>
    </w:p>
    <w:p>
      <w:r>
        <w:t xml:space="preserve">Model confidence </w:t>
      </w:r>
      <w:r>
        <w:rPr>
          <w:i/>
        </w:rPr>
        <w:t>C_i</w:t>
      </w:r>
      <w:r>
        <w:t xml:space="preserve"> (derived from ensemble variance) provides final weight adjustment:</w:t>
      </w:r>
    </w:p>
    <w:p>
      <w:pPr>
        <w:jc w:val="center"/>
      </w:pPr>
      <w:r>
        <w:rPr>
          <w:i/>
          <w:sz w:val="22"/>
        </w:rPr>
        <w:t>P_confidence = min(1.2, 0.8 + 0.4 × C_i)</w:t>
      </w:r>
    </w:p>
    <w:p>
      <w:r>
        <w:t>Combined adjustment yields risk-adjusted weights:</w:t>
      </w:r>
    </w:p>
    <w:p>
      <w:pPr>
        <w:jc w:val="center"/>
      </w:pPr>
      <w:r>
        <w:rPr>
          <w:i/>
          <w:sz w:val="22"/>
        </w:rPr>
        <w:t>w_i^adjusted = w_i^base × P_uncertainty × P_signal × P_confidence</w:t>
      </w:r>
    </w:p>
    <w:p>
      <w:r>
        <w:t>Following adjustment, weights are renormalized to sum to unity before constraint application.</w:t>
      </w:r>
    </w:p>
    <w:p>
      <w:pPr>
        <w:pStyle w:val="Heading3"/>
      </w:pPr>
      <w:r>
        <w:t>C.5 Portfolio Constraint Enforcement</w:t>
      </w:r>
    </w:p>
    <w:p>
      <w:r>
        <w:t>Three categories of constraints ensure portfolio feasibility and risk management:</w:t>
      </w:r>
    </w:p>
    <w:p>
      <w:pPr>
        <w:pStyle w:val="ListBullet"/>
      </w:pPr>
      <w:r>
        <w:rPr>
          <w:b/>
        </w:rPr>
        <w:t xml:space="preserve">Concentration Limits: </w:t>
      </w:r>
      <w:r>
        <w:t>Individual position weights are capped at investor-specific thresholds (10%-30% based on risk score) to prevent excessive exposure to single securities.</w:t>
      </w:r>
    </w:p>
    <w:p>
      <w:pPr>
        <w:pStyle w:val="ListBullet"/>
      </w:pPr>
      <w:r>
        <w:rPr>
          <w:b/>
        </w:rPr>
        <w:t xml:space="preserve">Minimum Position Size: </w:t>
      </w:r>
      <w:r>
        <w:t>Positions below 5% allocation are eliminated to avoid transaction cost inefficiency and portfolio fragmentation.</w:t>
      </w:r>
    </w:p>
    <w:p>
      <w:pPr>
        <w:pStyle w:val="ListBullet"/>
      </w:pPr>
      <w:r>
        <w:rPr>
          <w:b/>
        </w:rPr>
        <w:t xml:space="preserve">Diversification Requirements: </w:t>
      </w:r>
      <w:r>
        <w:t>Portfolios must contain minimum holdings (5-15 stocks depending on risk category) unless insufficient qualified opportunities exist, triggering cash allocation.</w:t>
      </w:r>
    </w:p>
    <w:p>
      <w:r>
        <w:t>Following constraint application, weights undergo final renormalization and are scaled by maximum equity exposure, with remainder allocated to risk-free cash.</w:t>
      </w:r>
    </w:p>
    <w:p>
      <w:pPr>
        <w:pStyle w:val="Heading3"/>
      </w:pPr>
      <w:r>
        <w:t>C.6 Edge Case Management</w:t>
      </w:r>
    </w:p>
    <w:p>
      <w:r>
        <w:t>The system incorporates defensive protocols for market conditions that fail to meet quality standards:</w:t>
      </w:r>
    </w:p>
    <w:p>
      <w:pPr>
        <w:pStyle w:val="ListBullet"/>
      </w:pPr>
      <w:r>
        <w:rPr>
          <w:b/>
        </w:rPr>
        <w:t xml:space="preserve">Insufficient Qualified Stocks: </w:t>
      </w:r>
      <w:r>
        <w:t>If fewer than minimum required holdings pass investability filters, the system defaults to 100% cash allocation until market conditions improve, protecting capital during low-opportunity regimes.</w:t>
      </w:r>
    </w:p>
    <w:p>
      <w:pPr>
        <w:pStyle w:val="ListBullet"/>
      </w:pPr>
      <w:r>
        <w:rPr>
          <w:b/>
        </w:rPr>
        <w:t xml:space="preserve">Technical Score Concentration: </w:t>
      </w:r>
      <w:r>
        <w:t>When technical scores cluster narrowly (e.g., all stocks 55-65 range), weight differentiation is maintained through exponential transformation, preventing near-equal-weight allocations that ignore ranking information.</w:t>
      </w:r>
    </w:p>
    <w:p>
      <w:pPr>
        <w:pStyle w:val="ListBullet"/>
      </w:pPr>
      <w:r>
        <w:rPr>
          <w:b/>
        </w:rPr>
        <w:t xml:space="preserve">Conservative Profile with Aggressive Signals: </w:t>
      </w:r>
      <w:r>
        <w:t>Conservative investors are restricted to stocks with technical scores above 60, even when aggressive signals exist at lower scores, ensuring portfolio quality aligns with risk tolerance.</w:t>
      </w:r>
    </w:p>
    <w:p>
      <w:pPr>
        <w:pStyle w:val="Heading3"/>
      </w:pPr>
      <w:r>
        <w:t>C.7 Portfolio Output and Reporting</w:t>
      </w:r>
    </w:p>
    <w:p>
      <w:r>
        <w:t>The allocation engine produces comprehensive output encompassing:</w:t>
      </w:r>
    </w:p>
    <w:p>
      <w:pPr>
        <w:pStyle w:val="ListBullet"/>
      </w:pPr>
      <w:r>
        <w:t>Final portfolio weights (percentage allocation per asset)</w:t>
      </w:r>
    </w:p>
    <w:p>
      <w:pPr>
        <w:pStyle w:val="ListBullet"/>
      </w:pPr>
      <w:r>
        <w:t>Capital allocation in monetary terms</w:t>
      </w:r>
    </w:p>
    <w:p>
      <w:pPr>
        <w:pStyle w:val="ListBullet"/>
      </w:pPr>
      <w:r>
        <w:t>Expected portfolio return (weighted average of constituent predictions)</w:t>
      </w:r>
    </w:p>
    <w:p>
      <w:pPr>
        <w:pStyle w:val="ListBullet"/>
      </w:pPr>
      <w:r>
        <w:t>Portfolio uncertainty (square root of weighted variance)</w:t>
      </w:r>
    </w:p>
    <w:p>
      <w:pPr>
        <w:pStyle w:val="ListBullet"/>
      </w:pPr>
      <w:r>
        <w:t>Estimated Sharpe ratio (expected excess return over uncertainty)</w:t>
      </w:r>
    </w:p>
    <w:p>
      <w:pPr>
        <w:pStyle w:val="ListBullet"/>
      </w:pPr>
      <w:r>
        <w:t>Concentration metrics (maximum and minimum position sizes)</w:t>
      </w:r>
    </w:p>
    <w:p>
      <w:pPr>
        <w:pStyle w:val="ListBullet"/>
      </w:pPr>
      <w:r>
        <w:t>Risk alignment assessment (equity exposure versus investor capacity)</w:t>
      </w:r>
    </w:p>
    <w:p>
      <w:r>
        <w:t>These outputs enable both system evaluation and investor communication, providing transparent rationale for allocation decisions.</w:t>
      </w:r>
    </w:p>
    <w:p>
      <w:pPr>
        <w:pStyle w:val="Heading3"/>
      </w:pPr>
      <w:r>
        <w:t>C.8 Implementation Details</w:t>
      </w:r>
    </w:p>
    <w:p>
      <w:r>
        <w:t>The allocation engine is implemented in Python using NumPy for vectorized operations and Pandas for data management. The modular architecture supports:</w:t>
      </w:r>
    </w:p>
    <w:p>
      <w:pPr>
        <w:pStyle w:val="ListBullet"/>
      </w:pPr>
      <w:r>
        <w:t>Independent testing of individual allocation stages</w:t>
      </w:r>
    </w:p>
    <w:p>
      <w:pPr>
        <w:pStyle w:val="ListBullet"/>
      </w:pPr>
      <w:r>
        <w:t>Parallel processing of multiple investor profiles</w:t>
      </w:r>
    </w:p>
    <w:p>
      <w:pPr>
        <w:pStyle w:val="ListBullet"/>
      </w:pPr>
      <w:r>
        <w:t>Backtesting infrastructure for historical performance evaluation</w:t>
      </w:r>
    </w:p>
    <w:p>
      <w:pPr>
        <w:pStyle w:val="ListBullet"/>
      </w:pPr>
      <w:r>
        <w:t>CSV export for portfolio integration with trading systems</w:t>
      </w:r>
    </w:p>
    <w:p>
      <w:pPr>
        <w:pStyle w:val="ListBullet"/>
      </w:pPr>
      <w:r>
        <w:t>Real-time rebalancing with market data updates</w:t>
      </w:r>
    </w:p>
    <w:p>
      <w:r>
        <w:t>Typical execution time for single portfolio generation is under 100 milliseconds on standard hardware, enabling real-time advisory applications.</w:t>
      </w:r>
    </w:p>
    <w:p>
      <w:pPr>
        <w:pStyle w:val="Heading3"/>
      </w:pPr>
      <w:r>
        <w:t>C.9 Integration Summary</w:t>
      </w:r>
    </w:p>
    <w:p>
      <w:r>
        <w:t>The allocation engine completes the robo-advisory framework by synthesizing behavioral and technical signals into executable portfolios. Key architectural decisions include:</w:t>
      </w:r>
    </w:p>
    <w:p>
      <w:pPr>
        <w:pStyle w:val="ListBullet"/>
      </w:pPr>
      <w:r>
        <w:t>Direct parameterization of allocation rules by continuous risk scores rather than discrete buckets</w:t>
      </w:r>
    </w:p>
    <w:p>
      <w:pPr>
        <w:pStyle w:val="ListBullet"/>
      </w:pPr>
      <w:r>
        <w:t>Multi-stage weight adjustment that compounds uncertainty penalties, signal strength, and model confidence</w:t>
      </w:r>
    </w:p>
    <w:p>
      <w:pPr>
        <w:pStyle w:val="ListBullet"/>
      </w:pPr>
      <w:r>
        <w:t>Strict constraint enforcement that prioritizes portfolio quality over full capital deployment</w:t>
      </w:r>
    </w:p>
    <w:p>
      <w:pPr>
        <w:pStyle w:val="ListBullet"/>
      </w:pPr>
      <w:r>
        <w:t>Defensive cash allocation when market opportunities fail to meet investor-specific quality standards</w:t>
      </w:r>
    </w:p>
    <w:p>
      <w:r>
        <w:t>This design achieves the paper's stated objective of unified behavioral-technical portfolio optimization while maintaining practical implementability and interpretability.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