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9705" w14:textId="679FDEAC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554D4F">
        <w:rPr>
          <w:rFonts w:ascii="Verdana" w:eastAsia="MS Mincho" w:hAnsi="Verdana" w:cs="Tahoma"/>
          <w:sz w:val="24"/>
          <w:szCs w:val="24"/>
          <w:lang w:val="en-US"/>
        </w:rPr>
        <w:t>E</w:t>
      </w:r>
      <w:r w:rsidR="00554D4F" w:rsidRPr="00554D4F">
        <w:rPr>
          <w:rFonts w:ascii="Verdana" w:eastAsia="MS Mincho" w:hAnsi="Verdana" w:cs="Tahoma"/>
          <w:sz w:val="24"/>
          <w:szCs w:val="24"/>
          <w:lang w:val="en-US"/>
        </w:rPr>
        <w:t>umemmerring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A50A57" w:rsidRPr="001C3842">
        <w:rPr>
          <w:rFonts w:ascii="Verdana" w:eastAsia="MS Mincho" w:hAnsi="Verdana" w:cs="Tahoma"/>
          <w:sz w:val="24"/>
          <w:szCs w:val="24"/>
        </w:rPr>
        <w:t>56</w:t>
      </w:r>
    </w:p>
    <w:p w14:paraId="1E6CE919" w14:textId="0AC1293F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BF449F">
        <w:rPr>
          <w:rFonts w:ascii="Verdana" w:eastAsia="MS Mincho" w:hAnsi="Verdana" w:cs="Tahoma"/>
          <w:bCs/>
          <w:sz w:val="24"/>
          <w:szCs w:val="24"/>
          <w:lang w:val="en-US"/>
        </w:rPr>
        <w:t xml:space="preserve"> &gt;&gt;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533734EE" w14:textId="33AA9EAA" w:rsidR="00B9504B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7C057C7B" w:rsidR="00B40D82" w:rsidRPr="001C3842" w:rsidRDefault="006C3441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EVELOPER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2E02AEF3" w:rsidR="00B40D82" w:rsidRPr="001C3842" w:rsidRDefault="002E198C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4527CADD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 xml:space="preserve">Taking lead on transitioning </w:t>
            </w: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Suite into </w:t>
            </w:r>
            <w:r>
              <w:rPr>
                <w:rFonts w:ascii="Arial" w:hAnsi="Arial" w:cs="Arial"/>
                <w:b/>
                <w:bCs/>
                <w:color w:val="212529"/>
              </w:rPr>
              <w:t>Angular 14</w:t>
            </w:r>
            <w:r>
              <w:rPr>
                <w:rFonts w:ascii="Arial" w:hAnsi="Arial" w:cs="Arial"/>
                <w:color w:val="212529"/>
              </w:rPr>
              <w:t> front end and </w:t>
            </w:r>
            <w:r>
              <w:rPr>
                <w:rFonts w:ascii="Arial" w:hAnsi="Arial" w:cs="Arial"/>
                <w:b/>
                <w:bCs/>
                <w:color w:val="212529"/>
              </w:rPr>
              <w:t>.net 8 API.</w:t>
            </w:r>
          </w:p>
          <w:p w14:paraId="229E6165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 xml:space="preserve">Taking lead on setting up environments (Dev/UAT/Staging/Production) for </w:t>
            </w: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suite.</w:t>
            </w:r>
          </w:p>
          <w:p w14:paraId="310B22C1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Setting up environment also includes creating Resources in Azure Portal and deploying website on relevant URLs.</w:t>
            </w:r>
          </w:p>
          <w:p w14:paraId="13410F65" w14:textId="42B39506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 xml:space="preserve">Collaborating with </w:t>
            </w:r>
            <w:r w:rsidR="00446F5D">
              <w:rPr>
                <w:rFonts w:ascii="Arial" w:hAnsi="Arial" w:cs="Arial"/>
                <w:color w:val="212529"/>
              </w:rPr>
              <w:t>a team</w:t>
            </w:r>
            <w:r>
              <w:rPr>
                <w:rFonts w:ascii="Arial" w:hAnsi="Arial" w:cs="Arial"/>
                <w:color w:val="212529"/>
              </w:rPr>
              <w:t xml:space="preserve"> of developers and cloud engineers for building solutions for our schools.</w:t>
            </w:r>
          </w:p>
          <w:p w14:paraId="41F861E5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Daily scrum for monitoring ongoing development and adhering to task deadlines.</w:t>
            </w:r>
          </w:p>
          <w:p w14:paraId="70D05D9D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suite relies on Azure B2C Tenant, OAuth Authentication</w:t>
            </w:r>
          </w:p>
          <w:p w14:paraId="04A43E8F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suite includes various products such as 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isLearn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isAnalyse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isConnect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isCommunicate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isRecruit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isPodcast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212529"/>
              </w:rPr>
              <w:t>isArtwork</w:t>
            </w:r>
            <w:proofErr w:type="spellEnd"/>
            <w:proofErr w:type="gramEnd"/>
          </w:p>
          <w:p w14:paraId="2C00A46E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 xml:space="preserve">API </w:t>
            </w:r>
            <w:proofErr w:type="spellStart"/>
            <w:r>
              <w:rPr>
                <w:rFonts w:ascii="Arial" w:hAnsi="Arial" w:cs="Arial"/>
                <w:color w:val="212529"/>
              </w:rPr>
              <w:t>Integeration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with 3rd party tool </w:t>
            </w:r>
            <w:r>
              <w:rPr>
                <w:rFonts w:ascii="Arial" w:hAnsi="Arial" w:cs="Arial"/>
                <w:b/>
                <w:bCs/>
                <w:color w:val="212529"/>
              </w:rPr>
              <w:t>(Qlik Sense Analytics)</w:t>
            </w:r>
          </w:p>
          <w:p w14:paraId="2FB0D772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is built on </w:t>
            </w:r>
            <w:proofErr w:type="spellStart"/>
            <w:r>
              <w:rPr>
                <w:rFonts w:ascii="Arial" w:hAnsi="Arial" w:cs="Arial"/>
                <w:color w:val="212529"/>
              </w:rPr>
              <w:t>Blazor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Web Assembly from Microsoft and .net Framework.</w:t>
            </w:r>
          </w:p>
          <w:p w14:paraId="2E45EED5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 xml:space="preserve">Development and version release of Xamarin </w:t>
            </w:r>
            <w:proofErr w:type="spellStart"/>
            <w:r>
              <w:rPr>
                <w:rFonts w:ascii="Arial" w:hAnsi="Arial" w:cs="Arial"/>
                <w:color w:val="212529"/>
              </w:rPr>
              <w:t>Andriod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Apps </w:t>
            </w:r>
            <w:r>
              <w:rPr>
                <w:rFonts w:ascii="Arial" w:hAnsi="Arial" w:cs="Arial"/>
                <w:b/>
                <w:bCs/>
                <w:color w:val="212529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</w:rPr>
              <w:t>isCommunicate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</w:rPr>
              <w:t>) </w:t>
            </w:r>
            <w:r>
              <w:rPr>
                <w:rFonts w:ascii="Arial" w:hAnsi="Arial" w:cs="Arial"/>
                <w:color w:val="212529"/>
              </w:rPr>
              <w:t>on Google Play</w:t>
            </w:r>
          </w:p>
          <w:p w14:paraId="4BE8209E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suite also includes webapps built on </w:t>
            </w:r>
            <w:proofErr w:type="gramStart"/>
            <w:r>
              <w:rPr>
                <w:rFonts w:ascii="Arial" w:hAnsi="Arial" w:cs="Arial"/>
                <w:color w:val="212529"/>
              </w:rPr>
              <w:t>Angular</w:t>
            </w:r>
            <w:proofErr w:type="gramEnd"/>
          </w:p>
          <w:p w14:paraId="233832EE" w14:textId="77777777" w:rsidR="00A863A7" w:rsidRDefault="00A863A7" w:rsidP="00A863A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Building and releasing pipelines to Dev, UAT, Staging and Production environments is a daily task.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7AF8E808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 xml:space="preserve">Angular 13, .net 6, </w:t>
            </w:r>
            <w:proofErr w:type="gramStart"/>
            <w:r w:rsidRPr="007C1B91">
              <w:rPr>
                <w:rFonts w:ascii="Verdana" w:eastAsia="MS Mincho" w:hAnsi="Verdana"/>
                <w:sz w:val="22"/>
                <w:szCs w:val="22"/>
              </w:rPr>
              <w:t>C#</w:t>
            </w:r>
            <w:proofErr w:type="gramEnd"/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7777777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generation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 holders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626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2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3A790308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proofErr w:type="gramStart"/>
            <w:r w:rsidR="001E52F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77777777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2013 – July 2018</w:t>
            </w:r>
          </w:p>
        </w:tc>
        <w:tc>
          <w:tcPr>
            <w:tcW w:w="8893" w:type="dxa"/>
            <w:gridSpan w:val="3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</w:tbl>
    <w:p w14:paraId="183A2CC9" w14:textId="77777777" w:rsidR="004F51CE" w:rsidRPr="001C3842" w:rsidRDefault="004F51CE" w:rsidP="00F428EE">
      <w:pPr>
        <w:pStyle w:val="PlainText"/>
        <w:tabs>
          <w:tab w:val="left" w:pos="2940"/>
        </w:tabs>
        <w:spacing w:before="60"/>
        <w:jc w:val="both"/>
        <w:rPr>
          <w:rFonts w:ascii="Verdana" w:eastAsia="MS Mincho" w:hAnsi="Verdana" w:cs="Tahoma"/>
          <w:b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2269"/>
        <w:gridCol w:w="8467"/>
      </w:tblGrid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shd w:val="clear" w:color="auto" w:fill="auto"/>
          </w:tcPr>
          <w:p w14:paraId="2C6D3AAB" w14:textId="77777777" w:rsidR="00C20EAA" w:rsidRDefault="00C20EAA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21646B6A" w14:textId="37FE28BA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lastRenderedPageBreak/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</w:t>
            </w:r>
            <w:proofErr w:type="gramStart"/>
            <w:r w:rsidRPr="001C3842">
              <w:rPr>
                <w:rFonts w:ascii="Verdana" w:eastAsia="MS Mincho" w:hAnsi="Verdana"/>
                <w:sz w:val="22"/>
                <w:szCs w:val="22"/>
              </w:rPr>
              <w:t>website</w:t>
            </w:r>
            <w:proofErr w:type="gramEnd"/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44900830" w14:textId="7B57EE16" w:rsidR="00525DC4" w:rsidRPr="001C3842" w:rsidRDefault="004668D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bility to be depended upon by 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teammates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and stake holders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755B90D" w14:textId="679FAB36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</w:p>
          <w:p w14:paraId="4839FA3C" w14:textId="054552D2" w:rsidR="00047322" w:rsidRDefault="00047322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Azure DevOps deployments.</w:t>
            </w:r>
          </w:p>
          <w:p w14:paraId="64E1B005" w14:textId="77777777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3DAD63D" w14:textId="12EC3D3E" w:rsidR="008D1D62" w:rsidRDefault="008D1D62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Deliver good quality work on time. </w:t>
            </w:r>
          </w:p>
          <w:p w14:paraId="7C9F240A" w14:textId="1E58A69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and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77777777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306D1A1B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648F3D92" w14:textId="76FDFF2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HolmesGlen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46FE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1337C910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2B5A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1663FD4B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127E"/>
    <w:rsid w:val="00101783"/>
    <w:rsid w:val="00101E98"/>
    <w:rsid w:val="00102A38"/>
    <w:rsid w:val="00103F14"/>
    <w:rsid w:val="001064FE"/>
    <w:rsid w:val="001104DA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41DD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656"/>
    <w:rsid w:val="003B27CE"/>
    <w:rsid w:val="003B4ABF"/>
    <w:rsid w:val="003C01D7"/>
    <w:rsid w:val="003C229A"/>
    <w:rsid w:val="003C3979"/>
    <w:rsid w:val="003C5203"/>
    <w:rsid w:val="003C59C2"/>
    <w:rsid w:val="003C7078"/>
    <w:rsid w:val="003C78BA"/>
    <w:rsid w:val="003D2FDC"/>
    <w:rsid w:val="003D51B6"/>
    <w:rsid w:val="003E13B6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90A8A"/>
    <w:rsid w:val="00490CDC"/>
    <w:rsid w:val="00490ED4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4DD3"/>
    <w:rsid w:val="00517068"/>
    <w:rsid w:val="00523306"/>
    <w:rsid w:val="00525DC4"/>
    <w:rsid w:val="005279C9"/>
    <w:rsid w:val="005306F5"/>
    <w:rsid w:val="00533092"/>
    <w:rsid w:val="00533AED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79C5"/>
    <w:rsid w:val="00651102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8037DB"/>
    <w:rsid w:val="00805B4A"/>
    <w:rsid w:val="00805B99"/>
    <w:rsid w:val="0080739B"/>
    <w:rsid w:val="00810B02"/>
    <w:rsid w:val="00811623"/>
    <w:rsid w:val="008124D5"/>
    <w:rsid w:val="008146ED"/>
    <w:rsid w:val="00814A41"/>
    <w:rsid w:val="00815952"/>
    <w:rsid w:val="00815A7B"/>
    <w:rsid w:val="00822C77"/>
    <w:rsid w:val="0083359C"/>
    <w:rsid w:val="00835D35"/>
    <w:rsid w:val="00836D8F"/>
    <w:rsid w:val="0084010E"/>
    <w:rsid w:val="0084049B"/>
    <w:rsid w:val="00843B6E"/>
    <w:rsid w:val="00845199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80853"/>
    <w:rsid w:val="009819DE"/>
    <w:rsid w:val="009822CC"/>
    <w:rsid w:val="009826DF"/>
    <w:rsid w:val="00984775"/>
    <w:rsid w:val="00984E92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747A"/>
    <w:rsid w:val="009D78C6"/>
    <w:rsid w:val="009E0148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D82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E9A"/>
    <w:rsid w:val="00B822DD"/>
    <w:rsid w:val="00B82A8A"/>
    <w:rsid w:val="00B849BB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7054"/>
    <w:rsid w:val="00C91349"/>
    <w:rsid w:val="00C91C2F"/>
    <w:rsid w:val="00C96CD8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64A2"/>
    <w:rsid w:val="00FB695F"/>
    <w:rsid w:val="00FC0851"/>
    <w:rsid w:val="00FC24A8"/>
    <w:rsid w:val="00FC7926"/>
    <w:rsid w:val="00FD0DF1"/>
    <w:rsid w:val="00FD4C81"/>
    <w:rsid w:val="00FD5155"/>
    <w:rsid w:val="00FD54B7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6263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2023-04-27T09:53:00Z</dcterms:modified>
</cp:coreProperties>
</file>