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60"/>
        <w:jc w:val="center"/>
      </w:pPr>
      <w:r>
        <w:rPr>
          <w:b/>
          <w:bCs/>
          <w:color w:val="2563EB"/>
          <w:sz w:val="30"/>
          <w:szCs w:val="30"/>
        </w:rPr>
        <w:t xml:space="preserve">启星智谷</w:t>
      </w:r>
    </w:p>
    <w:p>
      <w:pPr>
        <w:spacing w:after="480"/>
        <w:jc w:val="center"/>
      </w:pPr>
      <w:r>
        <w:rPr>
          <w:color w:val="6B7280"/>
          <w:sz w:val="18"/>
          <w:szCs w:val="18"/>
        </w:rPr>
        <w:t xml:space="preserve">QIXING ZHIGU · 药物出海投资</w:t>
      </w:r>
    </w:p>
    <w:p>
      <w:pPr>
        <w:spacing w:after="160"/>
        <w:jc w:val="center"/>
      </w:pPr>
      <w:r>
        <w:rPr>
          <w:b/>
          <w:bCs/>
          <w:color w:val="1E3A8A"/>
          <w:sz w:val="56"/>
          <w:szCs w:val="56"/>
        </w:rPr>
        <w:t xml:space="preserve">药物出海评估平台</w:t>
      </w:r>
    </w:p>
    <w:p>
      <w:pPr>
        <w:spacing w:after="80"/>
        <w:jc w:val="center"/>
      </w:pPr>
      <w:r>
        <w:rPr>
          <w:b/>
          <w:bCs/>
          <w:color w:val="111827"/>
          <w:sz w:val="30"/>
          <w:szCs w:val="30"/>
        </w:rPr>
        <w:t xml:space="preserve">产品需求文档（PRD）</w:t>
      </w:r>
    </w:p>
    <w:p>
      <w:pPr>
        <w:spacing w:after="600"/>
        <w:jc w:val="center"/>
      </w:pPr>
      <w:r>
        <w:rPr>
          <w:color w:val="6B7280"/>
          <w:sz w:val="20"/>
          <w:szCs w:val="20"/>
        </w:rPr>
        <w:t xml:space="preserve">智能尽调 · 人机协同决策</w:t>
      </w:r>
    </w:p>
    <w:p>
      <w:pPr>
        <w:spacing w:after="200"/>
        <w:jc w:val="center"/>
      </w:pPr>
    </w:p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文档名称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药物出海评估平台 产品需求文档（PRD）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版本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v1.0（演示版）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状态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Demo 已上线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在线地址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https://genai-demo.cn/drug-demo/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适用对象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启星智谷 投资/科学/产品团队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11827"/>
                <w:sz w:val="19"/>
                <w:szCs w:val="19"/>
              </w:rPr>
              <w:t xml:space="preserve">日期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2026-06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bCs/>
          <w:color w:val="1E3A8A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产品概述</w:t>
      </w:r>
    </w:p>
    <w:p>
      <w:pPr>
        <w:pStyle w:val="Heading2"/>
      </w:pPr>
      <w:r>
        <w:t xml:space="preserve">1.1 背景</w:t>
      </w:r>
    </w:p>
    <w:p>
      <w:pPr>
        <w:spacing w:after="120" w:before="0" w:line="300"/>
      </w:pPr>
      <w:r>
        <w:rPr>
          <w:sz w:val="21"/>
          <w:szCs w:val="21"/>
        </w:rPr>
        <w:t xml:space="preserve">启星智谷是一家专注于「药物出海」的投资机构，需要在大量候选管线中快速筛选出成功率较高、具备海外（美/欧/日等）注册与商业化潜力的创新药资产。传统尽调依赖人工查阅 PubMed、ClinicalTrials.gov、bioRxiv/medRxiv 等多源资料，周期长、口径不一、难以横向对比。</w:t>
      </w:r>
    </w:p>
    <w:p>
      <w:pPr>
        <w:pStyle w:val="Heading2"/>
      </w:pPr>
      <w:r>
        <w:t xml:space="preserve">1.2 产品目标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以「大模型 Deep Research + 多源知识库 + 人类专家意见」三者结合，对候选出海管线药物进行标准化的多维度评估与打分。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输出可解释、可追溯（逐条引用来源）的评估报告，并给出出海目的地、需要采取的措施与投资建议。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支持人机协同：科学家与投资人可录入专业意见，实时动态调整评分与投资区间。</w:t>
      </w:r>
    </w:p>
    <w:p>
      <w:pPr>
        <w:pStyle w:val="Heading2"/>
      </w:pPr>
      <w:r>
        <w:t xml:space="preserve">1.3 一句话定位</w:t>
      </w:r>
    </w:p>
    <w:p>
      <w:pPr>
        <w:pBdr>
          <w:left w:val="single" w:color="2563EB" w:sz="18" w:space="6"/>
        </w:pBdr>
        <w:shd w:fill="EEF2FF" w:val="clear"/>
        <w:spacing w:after="160" w:line="300"/>
        <w:ind w:left="200"/>
      </w:pPr>
      <w:r>
        <w:rPr>
          <w:b/>
          <w:bCs/>
          <w:color w:val="1E3A8A"/>
          <w:sz w:val="22"/>
          <w:szCs w:val="22"/>
        </w:rPr>
        <w:t xml:space="preserve">面向药物出海投资的智能尽调与决策支持平台——把分散的证据，变成可打分、可解释、可决策的出海管线评估报告。</w:t>
      </w:r>
    </w:p>
    <w:p>
      <w:pPr>
        <w:pStyle w:val="Heading1"/>
      </w:pPr>
      <w:r>
        <w:t xml:space="preserve">2. 目标用户与使用场景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926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核心诉求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典型操作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投资经理 / IC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快速判断资产是否值得投、投多少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看管线看板、读评估报告、录入投资人意见、参考投资区间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科学家 / 尽调专家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核验科学与临床证据、补充专业判断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新建评估、选择知识库、录入专家评级与侧重维度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产品 / 决策层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横向对比多个候选、留痕可追溯</w:t>
            </w:r>
          </w:p>
        </w:tc>
        <w:tc>
          <w:tcPr>
            <w:tcW w:type="dxa" w:w="3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综合评分排序、引用来源核查、导出报告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系统架构</w:t>
      </w:r>
    </w:p>
    <w:p>
      <w:pPr>
        <w:spacing w:after="120" w:before="0" w:line="300"/>
      </w:pPr>
      <w:r>
        <w:rPr>
          <w:sz w:val="21"/>
          <w:szCs w:val="21"/>
        </w:rPr>
        <w:t xml:space="preserve">平台采用「输入层 → Deep Research 评估引擎 → 输出层」三层结构。当前演示版为纯前端实现（React + Vite + Tailwind，使用模拟数据），评估引擎与知识库接口以可替换的形式预留，后续可对接真实大模型与数据 API。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724275"/>
            <wp:effectExtent t="0" r="0" b="0" l="0"/>
            <wp:docPr id="1" name="fig1_architecture.png" descr="fig1_architecture.png" title="fig1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1　药物出海评估平台 系统架构</w:t>
      </w:r>
    </w:p>
    <w:p>
      <w:pPr>
        <w:pStyle w:val="Heading1"/>
      </w:pPr>
      <w:r>
        <w:t xml:space="preserve">4. 业务流程</w:t>
      </w:r>
    </w:p>
    <w:p>
      <w:pPr>
        <w:spacing w:after="120" w:before="0" w:line="300"/>
      </w:pPr>
      <w:r>
        <w:rPr>
          <w:sz w:val="21"/>
          <w:szCs w:val="21"/>
        </w:rPr>
        <w:t xml:space="preserve">用户从录入药物信息开始，选择知识库技能与大模型，启动 Deep Research；引擎分步完成文献检索、靶点验证、临床格局、监管、商业与出海适配分析后汇总成报告；科学家与投资人可录入意见，系统据此动态重算评分与投资建议。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438400"/>
            <wp:effectExtent t="0" r="0" b="0" l="0"/>
            <wp:docPr id="1" name="fig2_workflow.png" descr="fig2_workflow.png" title="fig2_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2　从录入到决策的业务流程</w:t>
      </w:r>
    </w:p>
    <w:p>
      <w:r>
        <w:br w:type="page"/>
      </w:r>
    </w:p>
    <w:p>
      <w:pPr>
        <w:pStyle w:val="Heading1"/>
      </w:pPr>
      <w:r>
        <w:t xml:space="preserve">5. 功能需求</w:t>
      </w:r>
    </w:p>
    <w:p>
      <w:pPr>
        <w:pStyle w:val="Heading2"/>
      </w:pPr>
      <w:r>
        <w:t xml:space="preserve">5.1 出海管线看板（Dashboard）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候选药物卡片：名称 / 靶点 / 适应症 / 研发阶段 / 厂家 / 综合评分 / 推荐目的地 / 投资建议标签。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顶部统计：候选总数、推荐投资数、平均评分、覆盖目的地。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支持按评分排序、按适应症筛选。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hot_dashboard.png" descr="shot_dashboard.png" title="shot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3　出海管线看板（线上实截）</w:t>
      </w:r>
    </w:p>
    <w:p>
      <w:pPr>
        <w:pStyle w:val="Heading2"/>
      </w:pPr>
      <w:r>
        <w:t xml:space="preserve">5.2 新建评估（New Assessment）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药物信息录入：名称、靶点、适应症、作用机制、研发阶段、原厂家/来源、化学/生物类型、描述。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知识库技能选择（多选）：PubMed、ClinicalTrials.gov、bioRxiv/medRxiv、Open Targets、ChEMBL、gnomAD/ClinVar、Citeline/Cortellis、NMPA/CDE 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立项决策框架引用：内置《药物研发立项决策支持》核心维度作为评估依据。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大模型选择 + Deep Research 模式：模型下拉（GPT-5.x / Claude Opus / Gemini / DeepSeek 等）与研究深度（快速/标准/深度）。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科学家手工意见录入：支持多条专家意见与评级。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启动后展示分步研究进度动画（检索→靶点→临床→监管→商业→出海适配→汇总）。</w:t>
      </w:r>
    </w:p>
    <w:p>
      <w:pPr>
        <w:pStyle w:val="Heading2"/>
      </w:pPr>
      <w:r>
        <w:t xml:space="preserve">5.3 评估报告（Report）</w:t>
      </w:r>
    </w:p>
    <w:p>
      <w:pPr>
        <w:spacing w:after="100" w:before="0" w:line="300"/>
      </w:pPr>
      <w:r>
        <w:rPr>
          <w:sz w:val="21"/>
          <w:szCs w:val="21"/>
        </w:rPr>
        <w:t xml:space="preserve">报告页是平台的核心交付物，包含综合评分、多维评分雷达、逐维度打分与依据、出海目的地建议、厂家/合作建议、需要采取的措施、专家意见整合与启星智谷投资建议。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hot_report_top.png" descr="shot_report_top.png" title="shot_report_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4　评估报告（顶部：综合评分 + 雷达 + 多维依据，线上实截）</w:t>
      </w:r>
    </w:p>
    <w:p>
      <w:pPr>
        <w:pStyle w:val="Heading2"/>
      </w:pPr>
      <w:r>
        <w:t xml:space="preserve">5.4 可信度设计：逐条引用来源</w:t>
      </w:r>
    </w:p>
    <w:p>
      <w:pPr>
        <w:spacing w:after="120" w:before="0" w:line="300"/>
      </w:pPr>
      <w:r>
        <w:rPr>
          <w:sz w:val="21"/>
          <w:szCs w:val="21"/>
        </w:rPr>
        <w:t xml:space="preserve">「多维度评估与依据」及「需要采取的措施」中的每一条结论，均在条目下方以小字、淡色标注引用来源（如 Open Targets、gnomAD/ClinVar、ClinicalTrials.gov、Cortellis、FDA 指南等），提升结论的可追溯性与可信度。</w:t>
      </w:r>
    </w:p>
    <w:p>
      <w:pPr>
        <w:pStyle w:val="Heading2"/>
      </w:pPr>
      <w:r>
        <w:t xml:space="preserve">5.5 人机协同：专家与投资人意见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1"/>
          <w:szCs w:val="21"/>
        </w:rPr>
        <w:t xml:space="preserve">专家意见整合：</w:t>
      </w:r>
      <w:r>
        <w:rPr>
          <w:sz w:val="21"/>
          <w:szCs w:val="21"/>
        </w:rPr>
        <w:t xml:space="preserve">以整宽醒目卡片呈现，科学家可录入意见、给出评级（+6 ~ -6）并选择侧重维度；提交后动态重算多维评分、雷达图与综合评分。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1"/>
          <w:szCs w:val="21"/>
        </w:rPr>
        <w:t xml:space="preserve">投资人专业意见：</w:t>
      </w:r>
      <w:r>
        <w:rPr>
          <w:sz w:val="21"/>
          <w:szCs w:val="21"/>
        </w:rPr>
        <w:t xml:space="preserve">在「启星智谷投资建议」中录入投资立场（积极加仓 ×1.25 / 维持 ×1 / 适度参与 ×0.85 / 保守减仓 ×0.6 / 暂缓 ×0.2），与专家系数叠加，实时调整投资金额区间。</w:t>
      </w:r>
    </w:p>
    <w:p>
      <w:r>
        <w:br w:type="page"/>
      </w:r>
    </w:p>
    <w:p>
      <w:pPr>
        <w:pStyle w:val="Heading1"/>
      </w:pPr>
      <w:r>
        <w:t xml:space="preserve">6. 多维评估模型</w:t>
      </w:r>
    </w:p>
    <w:p>
      <w:pPr>
        <w:spacing w:after="120" w:before="0" w:line="300"/>
      </w:pPr>
      <w:r>
        <w:rPr>
          <w:sz w:val="21"/>
          <w:szCs w:val="21"/>
        </w:rPr>
        <w:t xml:space="preserve">平台从六个维度对候选药物打分（0~100），加权汇总为综合评分，并以雷达图可视化。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26"/>
        <w:gridCol w:w="24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维度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评估内容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示例引用来源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科学有效性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靶点-疾病关联的遗传学/药理学强验证程度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Open Targets · gnomAD/ClinVar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临床可行性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临床开发路径、入排可行性与终点设置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ClinicalTrials.gov · PubMed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监管顺应性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安全性特征、监管风险获益、特殊通道可得性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Cortellis · FDA 指南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商业生存力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未满足需求、差异化竞争与市场回报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Citeline · 行业研报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知识产权 / FTO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专利布局与自由实施空间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专利数据库 · FTO 检索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出海适配性</w:t>
            </w:r>
          </w:p>
        </w:tc>
        <w:tc>
          <w:tcPr>
            <w:tcW w:type="dxa" w:w="4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目标市场监管路径、本地化与 BD 可行性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EMA/PMDA · BD 交易库</w:t>
            </w:r>
          </w:p>
        </w:tc>
      </w:tr>
    </w:tbl>
    <w:p>
      <w:pPr>
        <w:spacing w:before="160"/>
      </w:pPr>
    </w:p>
    <w:p>
      <w:pPr>
        <w:spacing w:after="80" w:before="120"/>
        <w:jc w:val="center"/>
      </w:pPr>
      <w:r>
        <w:drawing>
          <wp:inline distT="0" distB="0" distL="0" distR="0">
            <wp:extent cx="3429000" cy="3962400"/>
            <wp:effectExtent t="0" r="0" b="0" l="0"/>
            <wp:docPr id="1" name="fig3_scoring.png" descr="fig3_scoring.png" title="fig3_scor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5　QX-101 多维评分雷达（示例）</w:t>
      </w:r>
    </w:p>
    <w:p>
      <w:pPr>
        <w:pStyle w:val="Heading1"/>
      </w:pPr>
      <w:r>
        <w:t xml:space="preserve">7. 输出内容说明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综合评分与推荐标签：强烈推荐 / 推荐投资 / 审慎观察。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出海目的地建议：如美国（FDA）/ 欧盟（EMA）/ 日本（PMDA），含监管路径、竞争格局与差异化理由。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厂家 / 合作建议：原厂家评估与潜在 BD 合作方向。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需要采取的措施：补充临床数据、FTO 检索、监管沟通、CMC 等行动清单（逐条附来源）。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启星智谷投资建议：投资金额范围、投资结构/阶段、风险等级与预期回报（ENPV 风格）。</w:t>
      </w:r>
    </w:p>
    <w:p>
      <w:pPr>
        <w:pStyle w:val="Heading1"/>
      </w:pPr>
      <w:r>
        <w:t xml:space="preserve">8. 技术实现与部署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E3A8A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React 18 + Vite 5 + Tailwind CSS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可视化 / 图标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recharts（雷达图）· lucide-react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路由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HashRouter（相对路径打包，可嵌入任意子目录 / iframe / WordPress）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数据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演示版使用 src/data 模拟数据，评估引擎与知识库接口预留可替换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部署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腾讯云服务器 + 宝塔 Nginx；HTTPS（Let's Encrypt，自动续期）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在线地址</w:t>
            </w:r>
          </w:p>
        </w:tc>
        <w:tc>
          <w:tcPr>
            <w:tcW w:type="dxa" w:w="6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https://genai-demo.cn/drug-demo/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4095750" cy="6762750"/>
            <wp:effectExtent t="0" r="0" b="0" l="0"/>
            <wp:docPr id="1" name="shot_report_full.png" descr="shot_report_full.png" title="shot_report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图 6　评估报告完整长图（线上实截）</w:t>
      </w:r>
    </w:p>
    <w:p>
      <w:pPr>
        <w:pStyle w:val="Heading1"/>
      </w:pPr>
      <w:r>
        <w:t xml:space="preserve">9. 非功能需求与后续规划</w:t>
      </w:r>
    </w:p>
    <w:p>
      <w:pPr>
        <w:pStyle w:val="Heading2"/>
      </w:pPr>
      <w:r>
        <w:t xml:space="preserve">9.1 非功能需求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可解释性：每条评分结论可追溯到具体来源。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可移植性：相对路径打包，便于嵌入官网或第三方平台。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响应式与中文本地化 UI。</w:t>
      </w:r>
    </w:p>
    <w:p>
      <w:pPr>
        <w:pStyle w:val="Heading2"/>
      </w:pPr>
      <w:r>
        <w:t xml:space="preserve">9.2 后续规划（非本期）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接入真实大模型 Deep Research 编排与多源知识库 API。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用户登录、权限与评估数据持久化。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完成域名 ICP 备案，恢复 HTTP 访问并提升合规性。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1"/>
          <w:szCs w:val="21"/>
        </w:rPr>
        <w:t xml:space="preserve">报告导出（PDF / Word）与历史版本对比。</w:t>
      </w:r>
    </w:p>
    <w:p>
      <w:pPr>
        <w:spacing w:before="400"/>
        <w:jc w:val="center"/>
      </w:pPr>
      <w:r>
        <w:rPr>
          <w:i/>
          <w:iCs/>
          <w:color w:val="6B7280"/>
          <w:sz w:val="18"/>
          <w:szCs w:val="18"/>
        </w:rPr>
        <w:t xml:space="preserve">— 本文档配套演示平台：https://genai-demo.cn/drug-demo/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第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color w:val="6B7280"/>
        <w:sz w:val="16"/>
        <w:szCs w:val="16"/>
      </w:rPr>
      <w:t xml:space="preserve">启星智谷 · 药物出海评估平台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4"/>
      </w:pBd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22dfa742a1517a41f4817eef9b02f5b26a2eac.png"/><Relationship Id="rId10" Type="http://schemas.openxmlformats.org/officeDocument/2006/relationships/image" Target="media/ac80f603f97c2e6ba9d581044892b0ca572781b3.png"/><Relationship Id="rId11" Type="http://schemas.openxmlformats.org/officeDocument/2006/relationships/image" Target="media/a1a8d5cfce41d2b64dc74b95ccb8bec3665d61e7.png"/><Relationship Id="rId12" Type="http://schemas.openxmlformats.org/officeDocument/2006/relationships/image" Target="media/c5476ddfbf9ef987e7b50cfb00b1ec3868f0cfaf.png"/><Relationship Id="rId13" Type="http://schemas.openxmlformats.org/officeDocument/2006/relationships/image" Target="media/2372fb9ed3de70d251cdbad8d1f538c65de9d782.png"/><Relationship Id="rId14" Type="http://schemas.openxmlformats.org/officeDocument/2006/relationships/image" Target="media/654a78380ba21984e5dd5572f5b0e299c0fd154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2026-06-04T08:02:14.048Z</dcterms:created>
  <dcterms:modified xsi:type="dcterms:W3CDTF">2026-06-04T08:02:14.048Z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