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E2181" w14:textId="77777777" w:rsidR="005C1C48" w:rsidRPr="005C1C48" w:rsidRDefault="005C1C48" w:rsidP="005C1C48">
      <w:pPr>
        <w:rPr>
          <w:rFonts w:hint="eastAsia"/>
          <w:b/>
          <w:bCs/>
        </w:rPr>
      </w:pPr>
      <w:r w:rsidRPr="005C1C48">
        <w:rPr>
          <w:b/>
          <w:bCs/>
        </w:rPr>
        <w:t>药物研发立项决策支持：核心数据集架构与战略情报分析报告</w:t>
      </w:r>
    </w:p>
    <w:p w14:paraId="18980ABD" w14:textId="77777777" w:rsidR="005C1C48" w:rsidRPr="005C1C48" w:rsidRDefault="005C1C48" w:rsidP="005C1C48">
      <w:pPr>
        <w:rPr>
          <w:rFonts w:hint="eastAsia"/>
          <w:b/>
          <w:bCs/>
        </w:rPr>
      </w:pPr>
      <w:r w:rsidRPr="005C1C48">
        <w:rPr>
          <w:b/>
          <w:bCs/>
        </w:rPr>
        <w:t>摘要</w:t>
      </w:r>
    </w:p>
    <w:p w14:paraId="13D8C150" w14:textId="77777777" w:rsidR="005C1C48" w:rsidRPr="005C1C48" w:rsidRDefault="00000000" w:rsidP="005C1C48">
      <w:pPr>
        <w:rPr>
          <w:rFonts w:hint="eastAsia"/>
        </w:rPr>
      </w:pPr>
      <w:r>
        <w:pict w14:anchorId="53324E4F">
          <v:rect id="_x0000_i1025" style="width:0;height:1.5pt" o:hralign="center" o:hrstd="t" o:hr="t" fillcolor="#a0a0a0" stroked="f"/>
        </w:pict>
      </w:r>
    </w:p>
    <w:p w14:paraId="7D7CDCE5" w14:textId="77777777" w:rsidR="005C1C48" w:rsidRPr="005C1C48" w:rsidRDefault="005C1C48" w:rsidP="005C1C48">
      <w:pPr>
        <w:rPr>
          <w:rFonts w:hint="eastAsia"/>
          <w:b/>
          <w:bCs/>
        </w:rPr>
      </w:pPr>
      <w:r w:rsidRPr="005C1C48">
        <w:rPr>
          <w:b/>
          <w:bCs/>
        </w:rPr>
        <w:t>1</w:t>
      </w:r>
      <w:proofErr w:type="gramStart"/>
      <w:r w:rsidRPr="005C1C48">
        <w:rPr>
          <w:b/>
          <w:bCs/>
        </w:rPr>
        <w:t>. 决策</w:t>
      </w:r>
      <w:proofErr w:type="gramEnd"/>
      <w:r w:rsidRPr="005C1C48">
        <w:rPr>
          <w:b/>
          <w:bCs/>
        </w:rPr>
        <w:t>架构重构：从科学直觉到多维证据融合</w:t>
      </w:r>
    </w:p>
    <w:p w14:paraId="3A333E4B" w14:textId="77777777" w:rsidR="005C1C48" w:rsidRPr="005C1C48" w:rsidRDefault="005C1C48" w:rsidP="005C1C48">
      <w:pPr>
        <w:rPr>
          <w:rFonts w:hint="eastAsia"/>
        </w:rPr>
      </w:pPr>
      <w:r w:rsidRPr="005C1C48">
        <w:t>新药立项不再仅仅是科学家的“科学假设验证”过程，而是一个涉及多方利益相关者（Stakeholders）的复杂系统工程。为了确保决策的稳健性，必须建立一个能够同时满足监管机构、支付方（Payers）、医生及患者需求的数据证据链。</w:t>
      </w:r>
    </w:p>
    <w:p w14:paraId="5AE99BE3" w14:textId="77777777" w:rsidR="005C1C48" w:rsidRPr="005C1C48" w:rsidRDefault="005C1C48" w:rsidP="005C1C48">
      <w:pPr>
        <w:rPr>
          <w:rFonts w:hint="eastAsia"/>
          <w:b/>
          <w:bCs/>
        </w:rPr>
      </w:pPr>
      <w:proofErr w:type="gramStart"/>
      <w:r w:rsidRPr="005C1C48">
        <w:rPr>
          <w:b/>
          <w:bCs/>
        </w:rPr>
        <w:t>1.1 “</w:t>
      </w:r>
      <w:proofErr w:type="gramEnd"/>
      <w:r w:rsidRPr="005C1C48">
        <w:rPr>
          <w:b/>
          <w:bCs/>
        </w:rPr>
        <w:t>Go/No-Go”决策的演进与核心要素</w:t>
      </w:r>
    </w:p>
    <w:p w14:paraId="4F0E28BC" w14:textId="77777777" w:rsidR="005C1C48" w:rsidRPr="005C1C48" w:rsidRDefault="005C1C48" w:rsidP="005C1C48">
      <w:pPr>
        <w:rPr>
          <w:rFonts w:hint="eastAsia"/>
        </w:rPr>
      </w:pPr>
      <w:r w:rsidRPr="005C1C48">
        <w:t>传统的立项决策往往过分依赖生物学靶点的理论可行性，而忽视了后续开发的可操作性。当前的行业共识是，一个高质量的“Go”决策必须基于“可解释的机制”（Interpretable Mechanism）。这意味着，仅仅证明分子层面的相互作用是不够的，还需要证据表明这种相互作用能够转化为功能性的生物学效应，并且该效应与临床终点存在因果关联。</w:t>
      </w:r>
    </w:p>
    <w:p w14:paraId="6D3D82E5" w14:textId="77777777" w:rsidR="005C1C48" w:rsidRPr="005C1C48" w:rsidRDefault="005C1C48" w:rsidP="005C1C48">
      <w:pPr>
        <w:rPr>
          <w:rFonts w:hint="eastAsia"/>
        </w:rPr>
      </w:pPr>
      <w:r w:rsidRPr="005C1C48">
        <w:t>在这一背景下，决策支持数据必须回答以下核心问题：</w:t>
      </w:r>
    </w:p>
    <w:p w14:paraId="6BD379C9" w14:textId="77777777" w:rsidR="005C1C48" w:rsidRPr="005C1C48" w:rsidRDefault="005C1C48" w:rsidP="005C1C48">
      <w:pPr>
        <w:numPr>
          <w:ilvl w:val="0"/>
          <w:numId w:val="1"/>
        </w:numPr>
        <w:rPr>
          <w:rFonts w:hint="eastAsia"/>
        </w:rPr>
      </w:pPr>
      <w:r w:rsidRPr="005C1C48">
        <w:rPr>
          <w:b/>
          <w:bCs/>
        </w:rPr>
        <w:t>科学有效性（Scientific Validity）</w:t>
      </w:r>
      <w:proofErr w:type="gramStart"/>
      <w:r w:rsidRPr="005C1C48">
        <w:rPr>
          <w:b/>
          <w:bCs/>
        </w:rPr>
        <w:t>：</w:t>
      </w:r>
      <w:r w:rsidRPr="005C1C48">
        <w:t xml:space="preserve"> 靶</w:t>
      </w:r>
      <w:proofErr w:type="gramEnd"/>
      <w:r w:rsidRPr="005C1C48">
        <w:t>点与疾病的关联是否经过了遗传学或药理学的强验证？</w:t>
      </w:r>
    </w:p>
    <w:p w14:paraId="2AF3F1C2" w14:textId="77777777" w:rsidR="005C1C48" w:rsidRPr="005C1C48" w:rsidRDefault="005C1C48" w:rsidP="005C1C48">
      <w:pPr>
        <w:numPr>
          <w:ilvl w:val="0"/>
          <w:numId w:val="1"/>
        </w:numPr>
        <w:rPr>
          <w:rFonts w:hint="eastAsia"/>
        </w:rPr>
      </w:pPr>
      <w:r w:rsidRPr="005C1C48">
        <w:rPr>
          <w:b/>
          <w:bCs/>
        </w:rPr>
        <w:t>临床可行性（Clinical Feasibility）</w:t>
      </w:r>
      <w:proofErr w:type="gramStart"/>
      <w:r w:rsidRPr="005C1C48">
        <w:rPr>
          <w:b/>
          <w:bCs/>
        </w:rPr>
        <w:t>：</w:t>
      </w:r>
      <w:r w:rsidRPr="005C1C48">
        <w:t xml:space="preserve"> 是否</w:t>
      </w:r>
      <w:proofErr w:type="gramEnd"/>
      <w:r w:rsidRPr="005C1C48">
        <w:t>存在可行的临床开发路径？受试者招募是否现实？</w:t>
      </w:r>
    </w:p>
    <w:p w14:paraId="6B8E5BF1" w14:textId="77777777" w:rsidR="005C1C48" w:rsidRPr="005C1C48" w:rsidRDefault="005C1C48" w:rsidP="005C1C48">
      <w:pPr>
        <w:numPr>
          <w:ilvl w:val="0"/>
          <w:numId w:val="1"/>
        </w:numPr>
        <w:rPr>
          <w:rFonts w:hint="eastAsia"/>
        </w:rPr>
      </w:pPr>
      <w:r w:rsidRPr="005C1C48">
        <w:rPr>
          <w:b/>
          <w:bCs/>
        </w:rPr>
        <w:t>监管顺应性（Regulatory Compliance）</w:t>
      </w:r>
      <w:proofErr w:type="gramStart"/>
      <w:r w:rsidRPr="005C1C48">
        <w:rPr>
          <w:b/>
          <w:bCs/>
        </w:rPr>
        <w:t>：</w:t>
      </w:r>
      <w:r w:rsidRPr="005C1C48">
        <w:t xml:space="preserve"> 预期</w:t>
      </w:r>
      <w:proofErr w:type="gramEnd"/>
      <w:r w:rsidRPr="005C1C48">
        <w:t>的安全性特征是否符合监管机构的风险获益评估标准？</w:t>
      </w:r>
    </w:p>
    <w:p w14:paraId="4F6A1CCB" w14:textId="77777777" w:rsidR="005C1C48" w:rsidRPr="005C1C48" w:rsidRDefault="005C1C48" w:rsidP="005C1C48">
      <w:pPr>
        <w:numPr>
          <w:ilvl w:val="0"/>
          <w:numId w:val="1"/>
        </w:numPr>
        <w:rPr>
          <w:rFonts w:hint="eastAsia"/>
        </w:rPr>
      </w:pPr>
      <w:r w:rsidRPr="005C1C48">
        <w:rPr>
          <w:b/>
          <w:bCs/>
        </w:rPr>
        <w:t>商业生存力（Commercial Viability）</w:t>
      </w:r>
      <w:proofErr w:type="gramStart"/>
      <w:r w:rsidRPr="005C1C48">
        <w:rPr>
          <w:b/>
          <w:bCs/>
        </w:rPr>
        <w:t>：</w:t>
      </w:r>
      <w:r w:rsidRPr="005C1C48">
        <w:t xml:space="preserve"> 在</w:t>
      </w:r>
      <w:proofErr w:type="gramEnd"/>
      <w:r w:rsidRPr="005C1C48">
        <w:t>未来的市场格局中，该产品是否具有差异化竞争优势（Unmet Medical Need）？</w:t>
      </w:r>
    </w:p>
    <w:p w14:paraId="34DF757B" w14:textId="77777777" w:rsidR="005C1C48" w:rsidRPr="005C1C48" w:rsidRDefault="005C1C48" w:rsidP="005C1C48">
      <w:pPr>
        <w:rPr>
          <w:rFonts w:hint="eastAsia"/>
          <w:b/>
          <w:bCs/>
        </w:rPr>
      </w:pPr>
      <w:proofErr w:type="gramStart"/>
      <w:r w:rsidRPr="005C1C48">
        <w:rPr>
          <w:b/>
          <w:bCs/>
        </w:rPr>
        <w:t>1.2 投资</w:t>
      </w:r>
      <w:proofErr w:type="gramEnd"/>
      <w:r w:rsidRPr="005C1C48">
        <w:rPr>
          <w:b/>
          <w:bCs/>
        </w:rPr>
        <w:t>回报与风险量化模型</w:t>
      </w:r>
    </w:p>
    <w:p w14:paraId="7BAAD270" w14:textId="77777777" w:rsidR="005C1C48" w:rsidRPr="005C1C48" w:rsidRDefault="005C1C48" w:rsidP="005C1C48">
      <w:pPr>
        <w:rPr>
          <w:rFonts w:hint="eastAsia"/>
        </w:rPr>
      </w:pPr>
      <w:r w:rsidRPr="005C1C48">
        <w:t xml:space="preserve">为了量化这些定性因素，制药企业引入了诸如预期药物投资（Expected Pharmaceutical Investment, EPI）和预期净现值（ENPV）等统计模型。这些模型要求输入极高颗粒度的数据，例如特定适应症的历史临床成功率（Possibility of Success, </w:t>
      </w:r>
      <w:proofErr w:type="spellStart"/>
      <w:r w:rsidRPr="005C1C48">
        <w:t>PoS</w:t>
      </w:r>
      <w:proofErr w:type="spellEnd"/>
      <w:r w:rsidRPr="005C1C48">
        <w:t>）、不同开发阶段的成本预估以及市场准入的定价潜力。研究表明，基于EPI的决策标准往往比单纯的成本效益比更为复杂，它要求决策者在早期就纳入晚期开发的经济学数据。因此，立项阶段的数据接入范围必须从研发前端延伸至商业后端，形成闭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7"/>
        <w:gridCol w:w="1486"/>
        <w:gridCol w:w="2727"/>
        <w:gridCol w:w="3370"/>
      </w:tblGrid>
      <w:tr w:rsidR="005C1C48" w:rsidRPr="005C1C48" w14:paraId="7060582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57FBF6" w14:textId="77777777" w:rsidR="005C1C48" w:rsidRPr="005C1C48" w:rsidRDefault="005C1C48" w:rsidP="005C1C48">
            <w:pPr>
              <w:rPr>
                <w:rFonts w:hint="eastAsia"/>
              </w:rPr>
            </w:pPr>
            <w:r w:rsidRPr="005C1C48">
              <w:rPr>
                <w:b/>
                <w:bCs/>
              </w:rPr>
              <w:lastRenderedPageBreak/>
              <w:t>决策维度</w:t>
            </w:r>
          </w:p>
        </w:tc>
        <w:tc>
          <w:tcPr>
            <w:tcW w:w="0" w:type="auto"/>
            <w:tcBorders>
              <w:top w:val="single" w:sz="6" w:space="0" w:color="auto"/>
              <w:left w:val="single" w:sz="6" w:space="0" w:color="auto"/>
              <w:bottom w:val="single" w:sz="6" w:space="0" w:color="auto"/>
              <w:right w:val="single" w:sz="6" w:space="0" w:color="auto"/>
            </w:tcBorders>
            <w:vAlign w:val="center"/>
            <w:hideMark/>
          </w:tcPr>
          <w:p w14:paraId="4169EE26" w14:textId="77777777" w:rsidR="005C1C48" w:rsidRPr="005C1C48" w:rsidRDefault="005C1C48" w:rsidP="005C1C48">
            <w:pPr>
              <w:rPr>
                <w:rFonts w:hint="eastAsia"/>
              </w:rPr>
            </w:pPr>
            <w:r w:rsidRPr="005C1C48">
              <w:rPr>
                <w:b/>
                <w:bCs/>
              </w:rPr>
              <w:t>关键考量因素</w:t>
            </w:r>
          </w:p>
        </w:tc>
        <w:tc>
          <w:tcPr>
            <w:tcW w:w="0" w:type="auto"/>
            <w:tcBorders>
              <w:top w:val="single" w:sz="6" w:space="0" w:color="auto"/>
              <w:left w:val="single" w:sz="6" w:space="0" w:color="auto"/>
              <w:bottom w:val="single" w:sz="6" w:space="0" w:color="auto"/>
              <w:right w:val="single" w:sz="6" w:space="0" w:color="auto"/>
            </w:tcBorders>
            <w:vAlign w:val="center"/>
            <w:hideMark/>
          </w:tcPr>
          <w:p w14:paraId="17E20338" w14:textId="77777777" w:rsidR="005C1C48" w:rsidRPr="005C1C48" w:rsidRDefault="005C1C48" w:rsidP="005C1C48">
            <w:pPr>
              <w:rPr>
                <w:rFonts w:hint="eastAsia"/>
              </w:rPr>
            </w:pPr>
            <w:r w:rsidRPr="005C1C48">
              <w:rPr>
                <w:b/>
                <w:bCs/>
              </w:rPr>
              <w:t>所需核心数据类型</w:t>
            </w:r>
          </w:p>
        </w:tc>
        <w:tc>
          <w:tcPr>
            <w:tcW w:w="0" w:type="auto"/>
            <w:tcBorders>
              <w:top w:val="single" w:sz="6" w:space="0" w:color="auto"/>
              <w:left w:val="single" w:sz="6" w:space="0" w:color="auto"/>
              <w:bottom w:val="single" w:sz="6" w:space="0" w:color="auto"/>
              <w:right w:val="single" w:sz="6" w:space="0" w:color="auto"/>
            </w:tcBorders>
            <w:vAlign w:val="center"/>
            <w:hideMark/>
          </w:tcPr>
          <w:p w14:paraId="54A245E5" w14:textId="77777777" w:rsidR="005C1C48" w:rsidRPr="005C1C48" w:rsidRDefault="005C1C48" w:rsidP="005C1C48">
            <w:pPr>
              <w:rPr>
                <w:rFonts w:hint="eastAsia"/>
              </w:rPr>
            </w:pPr>
            <w:r w:rsidRPr="005C1C48">
              <w:rPr>
                <w:b/>
                <w:bCs/>
              </w:rPr>
              <w:t>战略意义</w:t>
            </w:r>
          </w:p>
        </w:tc>
      </w:tr>
      <w:tr w:rsidR="005C1C48" w:rsidRPr="005C1C48" w14:paraId="7911BA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21C015" w14:textId="77777777" w:rsidR="005C1C48" w:rsidRPr="005C1C48" w:rsidRDefault="005C1C48" w:rsidP="005C1C48">
            <w:pPr>
              <w:rPr>
                <w:rFonts w:hint="eastAsia"/>
              </w:rPr>
            </w:pPr>
            <w:r w:rsidRPr="005C1C48">
              <w:rPr>
                <w:b/>
                <w:bCs/>
              </w:rPr>
              <w:t>科学验证</w:t>
            </w:r>
          </w:p>
        </w:tc>
        <w:tc>
          <w:tcPr>
            <w:tcW w:w="0" w:type="auto"/>
            <w:tcBorders>
              <w:top w:val="single" w:sz="6" w:space="0" w:color="auto"/>
              <w:left w:val="single" w:sz="6" w:space="0" w:color="auto"/>
              <w:bottom w:val="single" w:sz="6" w:space="0" w:color="auto"/>
              <w:right w:val="single" w:sz="6" w:space="0" w:color="auto"/>
            </w:tcBorders>
            <w:vAlign w:val="center"/>
            <w:hideMark/>
          </w:tcPr>
          <w:p w14:paraId="18D2B43B" w14:textId="77777777" w:rsidR="005C1C48" w:rsidRPr="005C1C48" w:rsidRDefault="005C1C48" w:rsidP="005C1C48">
            <w:pPr>
              <w:rPr>
                <w:rFonts w:hint="eastAsia"/>
              </w:rPr>
            </w:pPr>
            <w:r w:rsidRPr="005C1C48">
              <w:t>靶点成药性、安全性风险</w:t>
            </w:r>
          </w:p>
        </w:tc>
        <w:tc>
          <w:tcPr>
            <w:tcW w:w="0" w:type="auto"/>
            <w:tcBorders>
              <w:top w:val="single" w:sz="6" w:space="0" w:color="auto"/>
              <w:left w:val="single" w:sz="6" w:space="0" w:color="auto"/>
              <w:bottom w:val="single" w:sz="6" w:space="0" w:color="auto"/>
              <w:right w:val="single" w:sz="6" w:space="0" w:color="auto"/>
            </w:tcBorders>
            <w:vAlign w:val="center"/>
            <w:hideMark/>
          </w:tcPr>
          <w:p w14:paraId="665903AA" w14:textId="77777777" w:rsidR="005C1C48" w:rsidRPr="005C1C48" w:rsidRDefault="005C1C48" w:rsidP="005C1C48">
            <w:pPr>
              <w:rPr>
                <w:rFonts w:hint="eastAsia"/>
              </w:rPr>
            </w:pPr>
            <w:r w:rsidRPr="005C1C48">
              <w:t>基因组学（GWAS, Omics）、构效关系（SAR）数据</w:t>
            </w:r>
          </w:p>
        </w:tc>
        <w:tc>
          <w:tcPr>
            <w:tcW w:w="0" w:type="auto"/>
            <w:tcBorders>
              <w:top w:val="single" w:sz="6" w:space="0" w:color="auto"/>
              <w:left w:val="single" w:sz="6" w:space="0" w:color="auto"/>
              <w:bottom w:val="single" w:sz="6" w:space="0" w:color="auto"/>
              <w:right w:val="single" w:sz="6" w:space="0" w:color="auto"/>
            </w:tcBorders>
            <w:vAlign w:val="center"/>
            <w:hideMark/>
          </w:tcPr>
          <w:p w14:paraId="7FEE6E7D" w14:textId="77777777" w:rsidR="005C1C48" w:rsidRPr="005C1C48" w:rsidRDefault="005C1C48" w:rsidP="005C1C48">
            <w:pPr>
              <w:rPr>
                <w:rFonts w:hint="eastAsia"/>
              </w:rPr>
            </w:pPr>
            <w:r w:rsidRPr="005C1C48">
              <w:t>降低因缺乏疗效导致的II/III期临床失败率（目前主要失败原因）。</w:t>
            </w:r>
          </w:p>
        </w:tc>
      </w:tr>
      <w:tr w:rsidR="005C1C48" w:rsidRPr="005C1C48" w14:paraId="3EF9C8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2DB678" w14:textId="77777777" w:rsidR="005C1C48" w:rsidRPr="005C1C48" w:rsidRDefault="005C1C48" w:rsidP="005C1C48">
            <w:pPr>
              <w:rPr>
                <w:rFonts w:hint="eastAsia"/>
              </w:rPr>
            </w:pPr>
            <w:r w:rsidRPr="005C1C48">
              <w:rPr>
                <w:b/>
                <w:bCs/>
              </w:rPr>
              <w:t>技术可行性</w:t>
            </w:r>
          </w:p>
        </w:tc>
        <w:tc>
          <w:tcPr>
            <w:tcW w:w="0" w:type="auto"/>
            <w:tcBorders>
              <w:top w:val="single" w:sz="6" w:space="0" w:color="auto"/>
              <w:left w:val="single" w:sz="6" w:space="0" w:color="auto"/>
              <w:bottom w:val="single" w:sz="6" w:space="0" w:color="auto"/>
              <w:right w:val="single" w:sz="6" w:space="0" w:color="auto"/>
            </w:tcBorders>
            <w:vAlign w:val="center"/>
            <w:hideMark/>
          </w:tcPr>
          <w:p w14:paraId="4CBDE2F3" w14:textId="77777777" w:rsidR="005C1C48" w:rsidRPr="005C1C48" w:rsidRDefault="005C1C48" w:rsidP="005C1C48">
            <w:pPr>
              <w:rPr>
                <w:rFonts w:hint="eastAsia"/>
              </w:rPr>
            </w:pPr>
            <w:r w:rsidRPr="005C1C48">
              <w:t>合成难度、专利空间</w:t>
            </w:r>
          </w:p>
        </w:tc>
        <w:tc>
          <w:tcPr>
            <w:tcW w:w="0" w:type="auto"/>
            <w:tcBorders>
              <w:top w:val="single" w:sz="6" w:space="0" w:color="auto"/>
              <w:left w:val="single" w:sz="6" w:space="0" w:color="auto"/>
              <w:bottom w:val="single" w:sz="6" w:space="0" w:color="auto"/>
              <w:right w:val="single" w:sz="6" w:space="0" w:color="auto"/>
            </w:tcBorders>
            <w:vAlign w:val="center"/>
            <w:hideMark/>
          </w:tcPr>
          <w:p w14:paraId="2BB85773" w14:textId="77777777" w:rsidR="005C1C48" w:rsidRPr="005C1C48" w:rsidRDefault="005C1C48" w:rsidP="005C1C48">
            <w:pPr>
              <w:rPr>
                <w:rFonts w:hint="eastAsia"/>
              </w:rPr>
            </w:pPr>
            <w:r w:rsidRPr="005C1C48">
              <w:t>专利数据库、化学反应库、CMC数据</w:t>
            </w:r>
          </w:p>
        </w:tc>
        <w:tc>
          <w:tcPr>
            <w:tcW w:w="0" w:type="auto"/>
            <w:tcBorders>
              <w:top w:val="single" w:sz="6" w:space="0" w:color="auto"/>
              <w:left w:val="single" w:sz="6" w:space="0" w:color="auto"/>
              <w:bottom w:val="single" w:sz="6" w:space="0" w:color="auto"/>
              <w:right w:val="single" w:sz="6" w:space="0" w:color="auto"/>
            </w:tcBorders>
            <w:vAlign w:val="center"/>
            <w:hideMark/>
          </w:tcPr>
          <w:p w14:paraId="59FFA214" w14:textId="77777777" w:rsidR="005C1C48" w:rsidRPr="005C1C48" w:rsidRDefault="005C1C48" w:rsidP="005C1C48">
            <w:pPr>
              <w:rPr>
                <w:rFonts w:hint="eastAsia"/>
              </w:rPr>
            </w:pPr>
            <w:r w:rsidRPr="005C1C48">
              <w:t>确保分子实体可被制造且拥有自由实施权（FTO）。</w:t>
            </w:r>
          </w:p>
        </w:tc>
      </w:tr>
      <w:tr w:rsidR="005C1C48" w:rsidRPr="005C1C48" w14:paraId="19A809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80A025" w14:textId="77777777" w:rsidR="005C1C48" w:rsidRPr="005C1C48" w:rsidRDefault="005C1C48" w:rsidP="005C1C48">
            <w:pPr>
              <w:rPr>
                <w:rFonts w:hint="eastAsia"/>
              </w:rPr>
            </w:pPr>
            <w:r w:rsidRPr="005C1C48">
              <w:rPr>
                <w:b/>
                <w:bCs/>
              </w:rPr>
              <w:t>开发风险</w:t>
            </w:r>
          </w:p>
        </w:tc>
        <w:tc>
          <w:tcPr>
            <w:tcW w:w="0" w:type="auto"/>
            <w:tcBorders>
              <w:top w:val="single" w:sz="6" w:space="0" w:color="auto"/>
              <w:left w:val="single" w:sz="6" w:space="0" w:color="auto"/>
              <w:bottom w:val="single" w:sz="6" w:space="0" w:color="auto"/>
              <w:right w:val="single" w:sz="6" w:space="0" w:color="auto"/>
            </w:tcBorders>
            <w:vAlign w:val="center"/>
            <w:hideMark/>
          </w:tcPr>
          <w:p w14:paraId="548C5759" w14:textId="77777777" w:rsidR="005C1C48" w:rsidRPr="005C1C48" w:rsidRDefault="005C1C48" w:rsidP="005C1C48">
            <w:pPr>
              <w:rPr>
                <w:rFonts w:hint="eastAsia"/>
              </w:rPr>
            </w:pPr>
            <w:r w:rsidRPr="005C1C48">
              <w:t>临床终点选择、竞争拥挤度</w:t>
            </w:r>
          </w:p>
        </w:tc>
        <w:tc>
          <w:tcPr>
            <w:tcW w:w="0" w:type="auto"/>
            <w:tcBorders>
              <w:top w:val="single" w:sz="6" w:space="0" w:color="auto"/>
              <w:left w:val="single" w:sz="6" w:space="0" w:color="auto"/>
              <w:bottom w:val="single" w:sz="6" w:space="0" w:color="auto"/>
              <w:right w:val="single" w:sz="6" w:space="0" w:color="auto"/>
            </w:tcBorders>
            <w:vAlign w:val="center"/>
            <w:hideMark/>
          </w:tcPr>
          <w:p w14:paraId="26FFDC1B" w14:textId="77777777" w:rsidR="005C1C48" w:rsidRPr="005C1C48" w:rsidRDefault="005C1C48" w:rsidP="005C1C48">
            <w:pPr>
              <w:rPr>
                <w:rFonts w:hint="eastAsia"/>
              </w:rPr>
            </w:pPr>
            <w:r w:rsidRPr="005C1C48">
              <w:t>临床试验注册库、监管审评报告</w:t>
            </w:r>
          </w:p>
        </w:tc>
        <w:tc>
          <w:tcPr>
            <w:tcW w:w="0" w:type="auto"/>
            <w:tcBorders>
              <w:top w:val="single" w:sz="6" w:space="0" w:color="auto"/>
              <w:left w:val="single" w:sz="6" w:space="0" w:color="auto"/>
              <w:bottom w:val="single" w:sz="6" w:space="0" w:color="auto"/>
              <w:right w:val="single" w:sz="6" w:space="0" w:color="auto"/>
            </w:tcBorders>
            <w:vAlign w:val="center"/>
            <w:hideMark/>
          </w:tcPr>
          <w:p w14:paraId="40ABCB6E" w14:textId="77777777" w:rsidR="005C1C48" w:rsidRPr="005C1C48" w:rsidRDefault="005C1C48" w:rsidP="005C1C48">
            <w:pPr>
              <w:rPr>
                <w:rFonts w:hint="eastAsia"/>
              </w:rPr>
            </w:pPr>
            <w:r w:rsidRPr="005C1C48">
              <w:t>避免进入“红海”竞争或陷入无法证明优效性的临床设计陷阱。</w:t>
            </w:r>
          </w:p>
        </w:tc>
      </w:tr>
      <w:tr w:rsidR="005C1C48" w:rsidRPr="005C1C48" w14:paraId="627514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896148" w14:textId="77777777" w:rsidR="005C1C48" w:rsidRPr="005C1C48" w:rsidRDefault="005C1C48" w:rsidP="005C1C48">
            <w:pPr>
              <w:rPr>
                <w:rFonts w:hint="eastAsia"/>
              </w:rPr>
            </w:pPr>
            <w:r w:rsidRPr="005C1C48">
              <w:rPr>
                <w:b/>
                <w:bCs/>
              </w:rPr>
              <w:t>商业价值</w:t>
            </w:r>
          </w:p>
        </w:tc>
        <w:tc>
          <w:tcPr>
            <w:tcW w:w="0" w:type="auto"/>
            <w:tcBorders>
              <w:top w:val="single" w:sz="6" w:space="0" w:color="auto"/>
              <w:left w:val="single" w:sz="6" w:space="0" w:color="auto"/>
              <w:bottom w:val="single" w:sz="6" w:space="0" w:color="auto"/>
              <w:right w:val="single" w:sz="6" w:space="0" w:color="auto"/>
            </w:tcBorders>
            <w:vAlign w:val="center"/>
            <w:hideMark/>
          </w:tcPr>
          <w:p w14:paraId="57660303" w14:textId="77777777" w:rsidR="005C1C48" w:rsidRPr="005C1C48" w:rsidRDefault="005C1C48" w:rsidP="005C1C48">
            <w:pPr>
              <w:rPr>
                <w:rFonts w:hint="eastAsia"/>
              </w:rPr>
            </w:pPr>
            <w:r w:rsidRPr="005C1C48">
              <w:t>支付意愿、市场准入壁垒</w:t>
            </w:r>
          </w:p>
        </w:tc>
        <w:tc>
          <w:tcPr>
            <w:tcW w:w="0" w:type="auto"/>
            <w:tcBorders>
              <w:top w:val="single" w:sz="6" w:space="0" w:color="auto"/>
              <w:left w:val="single" w:sz="6" w:space="0" w:color="auto"/>
              <w:bottom w:val="single" w:sz="6" w:space="0" w:color="auto"/>
              <w:right w:val="single" w:sz="6" w:space="0" w:color="auto"/>
            </w:tcBorders>
            <w:vAlign w:val="center"/>
            <w:hideMark/>
          </w:tcPr>
          <w:p w14:paraId="7F8E6D97" w14:textId="77777777" w:rsidR="005C1C48" w:rsidRPr="005C1C48" w:rsidRDefault="005C1C48" w:rsidP="005C1C48">
            <w:pPr>
              <w:rPr>
                <w:rFonts w:hint="eastAsia"/>
              </w:rPr>
            </w:pPr>
            <w:r w:rsidRPr="005C1C48">
              <w:t>流行病学、销售数据、卫生技术评估（HTA）记录</w:t>
            </w:r>
          </w:p>
        </w:tc>
        <w:tc>
          <w:tcPr>
            <w:tcW w:w="0" w:type="auto"/>
            <w:tcBorders>
              <w:top w:val="single" w:sz="6" w:space="0" w:color="auto"/>
              <w:left w:val="single" w:sz="6" w:space="0" w:color="auto"/>
              <w:bottom w:val="single" w:sz="6" w:space="0" w:color="auto"/>
              <w:right w:val="single" w:sz="6" w:space="0" w:color="auto"/>
            </w:tcBorders>
            <w:vAlign w:val="center"/>
            <w:hideMark/>
          </w:tcPr>
          <w:p w14:paraId="160F4274" w14:textId="77777777" w:rsidR="005C1C48" w:rsidRPr="005C1C48" w:rsidRDefault="005C1C48" w:rsidP="005C1C48">
            <w:pPr>
              <w:rPr>
                <w:rFonts w:hint="eastAsia"/>
              </w:rPr>
            </w:pPr>
            <w:r w:rsidRPr="005C1C48">
              <w:t>验证产品的生命周期价值，确保研发投入的财务回报。</w:t>
            </w:r>
          </w:p>
        </w:tc>
      </w:tr>
    </w:tbl>
    <w:p w14:paraId="40A86947" w14:textId="77777777" w:rsidR="005C1C48" w:rsidRPr="005C1C48" w:rsidRDefault="00000000" w:rsidP="005C1C48">
      <w:pPr>
        <w:rPr>
          <w:rFonts w:hint="eastAsia"/>
        </w:rPr>
      </w:pPr>
      <w:r>
        <w:pict w14:anchorId="4BF311ED">
          <v:rect id="_x0000_i1026" style="width:0;height:1.5pt" o:hralign="center" o:hrstd="t" o:hr="t" fillcolor="#a0a0a0" stroked="f"/>
        </w:pict>
      </w:r>
    </w:p>
    <w:p w14:paraId="17DB967F" w14:textId="77777777" w:rsidR="005C1C48" w:rsidRPr="005C1C48" w:rsidRDefault="005C1C48" w:rsidP="005C1C48">
      <w:pPr>
        <w:rPr>
          <w:rFonts w:hint="eastAsia"/>
          <w:b/>
          <w:bCs/>
        </w:rPr>
      </w:pPr>
      <w:r w:rsidRPr="005C1C48">
        <w:rPr>
          <w:b/>
          <w:bCs/>
        </w:rPr>
        <w:t>2</w:t>
      </w:r>
      <w:proofErr w:type="gramStart"/>
      <w:r w:rsidRPr="005C1C48">
        <w:rPr>
          <w:b/>
          <w:bCs/>
        </w:rPr>
        <w:t>. 生物学</w:t>
      </w:r>
      <w:proofErr w:type="gramEnd"/>
      <w:r w:rsidRPr="005C1C48">
        <w:rPr>
          <w:b/>
          <w:bCs/>
        </w:rPr>
        <w:t>验证与靶点情报：源头风险控制</w:t>
      </w:r>
    </w:p>
    <w:p w14:paraId="5E294779" w14:textId="77777777" w:rsidR="005C1C48" w:rsidRPr="005C1C48" w:rsidRDefault="005C1C48" w:rsidP="005C1C48">
      <w:pPr>
        <w:rPr>
          <w:rFonts w:hint="eastAsia"/>
        </w:rPr>
      </w:pPr>
      <w:r w:rsidRPr="005C1C48">
        <w:t>药物研发的高失败率主要归因于缺乏疗效，这通常源于靶点选择的错误。因此，接入高质量的靶点验证数据是立项决策的第一道防线。</w:t>
      </w:r>
    </w:p>
    <w:p w14:paraId="70A7D5C7" w14:textId="77777777" w:rsidR="005C1C48" w:rsidRPr="005C1C48" w:rsidRDefault="005C1C48" w:rsidP="005C1C48">
      <w:pPr>
        <w:rPr>
          <w:rFonts w:hint="eastAsia"/>
          <w:b/>
          <w:bCs/>
        </w:rPr>
      </w:pPr>
      <w:proofErr w:type="gramStart"/>
      <w:r w:rsidRPr="005C1C48">
        <w:rPr>
          <w:b/>
          <w:bCs/>
        </w:rPr>
        <w:t>2.1 靶</w:t>
      </w:r>
      <w:proofErr w:type="gramEnd"/>
      <w:r w:rsidRPr="005C1C48">
        <w:rPr>
          <w:b/>
          <w:bCs/>
        </w:rPr>
        <w:t>点发现与关联评分：Open Targets Platform</w:t>
      </w:r>
    </w:p>
    <w:p w14:paraId="71C137EA" w14:textId="77777777" w:rsidR="005C1C48" w:rsidRPr="005C1C48" w:rsidRDefault="005C1C48" w:rsidP="005C1C48">
      <w:pPr>
        <w:rPr>
          <w:rFonts w:hint="eastAsia"/>
        </w:rPr>
      </w:pPr>
      <w:r w:rsidRPr="005C1C48">
        <w:t>在众多的靶点数据库中，</w:t>
      </w:r>
      <w:r w:rsidRPr="005C1C48">
        <w:rPr>
          <w:b/>
          <w:bCs/>
        </w:rPr>
        <w:t>Open Targets Platform</w:t>
      </w:r>
      <w:r w:rsidRPr="005C1C48">
        <w:t xml:space="preserve"> 已成为事实上的行业金标准。作为一个由EMBL-EBI与GSK、BMS、Sanofi等制药巨头联合建立的竞争前（Pre-competitive）平台，它通过整合分散的公共数据，为靶点-疾病关联提供了一个量化的评分体系。</w:t>
      </w:r>
    </w:p>
    <w:p w14:paraId="1C8AF955" w14:textId="77777777" w:rsidR="005C1C48" w:rsidRPr="005C1C48" w:rsidRDefault="005C1C48" w:rsidP="005C1C48">
      <w:pPr>
        <w:numPr>
          <w:ilvl w:val="0"/>
          <w:numId w:val="2"/>
        </w:numPr>
        <w:rPr>
          <w:rFonts w:hint="eastAsia"/>
        </w:rPr>
      </w:pPr>
      <w:r w:rsidRPr="005C1C48">
        <w:rPr>
          <w:b/>
          <w:bCs/>
        </w:rPr>
        <w:t>多源数据融合机制：</w:t>
      </w:r>
      <w:r w:rsidRPr="005C1C48">
        <w:t xml:space="preserve"> Open Targets 的核心价值在于其整合了遗传学关联（GWAS Catalog, </w:t>
      </w:r>
      <w:proofErr w:type="spellStart"/>
      <w:r w:rsidRPr="005C1C48">
        <w:t>UniProt</w:t>
      </w:r>
      <w:proofErr w:type="spellEnd"/>
      <w:r w:rsidRPr="005C1C48">
        <w:t xml:space="preserve">）、体细胞突变（Cancer Gene Census, </w:t>
      </w:r>
      <w:proofErr w:type="spellStart"/>
      <w:r w:rsidRPr="005C1C48">
        <w:t>IntOGen</w:t>
      </w:r>
      <w:proofErr w:type="spellEnd"/>
      <w:r w:rsidRPr="005C1C48">
        <w:t>）、RNA表达（Expression Atlas）以及已知药物作用（</w:t>
      </w:r>
      <w:proofErr w:type="spellStart"/>
      <w:r w:rsidRPr="005C1C48">
        <w:t>ChEMBL</w:t>
      </w:r>
      <w:proofErr w:type="spellEnd"/>
      <w:r w:rsidRPr="005C1C48">
        <w:t>）等多种数据流。这种多源验证机制至关重要，因为单一证据源往往存在假阳性。例如，仅凭基因表达差异无法证明因果关系，但结合GWAS遗传学证据和动物模型数据，则能显著提高靶点可信度。</w:t>
      </w:r>
    </w:p>
    <w:p w14:paraId="1A8BE5F5" w14:textId="77777777" w:rsidR="005C1C48" w:rsidRPr="005C1C48" w:rsidRDefault="005C1C48" w:rsidP="005C1C48">
      <w:pPr>
        <w:numPr>
          <w:ilvl w:val="0"/>
          <w:numId w:val="2"/>
        </w:numPr>
        <w:rPr>
          <w:rFonts w:hint="eastAsia"/>
        </w:rPr>
      </w:pPr>
      <w:r w:rsidRPr="005C1C48">
        <w:rPr>
          <w:b/>
          <w:bCs/>
        </w:rPr>
        <w:t>肿瘤基因组数据的深化</w:t>
      </w:r>
      <w:proofErr w:type="gramStart"/>
      <w:r w:rsidRPr="005C1C48">
        <w:rPr>
          <w:b/>
          <w:bCs/>
        </w:rPr>
        <w:t>：</w:t>
      </w:r>
      <w:r w:rsidRPr="005C1C48">
        <w:t xml:space="preserve"> 最近</w:t>
      </w:r>
      <w:proofErr w:type="gramEnd"/>
      <w:r w:rsidRPr="005C1C48">
        <w:t>，该平台整合了</w:t>
      </w:r>
      <w:proofErr w:type="spellStart"/>
      <w:r w:rsidRPr="005C1C48">
        <w:rPr>
          <w:b/>
          <w:bCs/>
        </w:rPr>
        <w:t>cBioPortal</w:t>
      </w:r>
      <w:proofErr w:type="spellEnd"/>
      <w:r w:rsidRPr="005C1C48">
        <w:t>的数据，引入了来自大规模癌症基因组学研究的真实世界患者数据（包括点突变、拷贝数变异等）。这一举措为平台新增了400多个靶点和49种疾病的关联信息，极大地增强了肿瘤药物立项的数据支撑能力。</w:t>
      </w:r>
    </w:p>
    <w:p w14:paraId="0401A4B3" w14:textId="77777777" w:rsidR="005C1C48" w:rsidRPr="005C1C48" w:rsidRDefault="005C1C48" w:rsidP="005C1C48">
      <w:pPr>
        <w:numPr>
          <w:ilvl w:val="0"/>
          <w:numId w:val="2"/>
        </w:numPr>
        <w:rPr>
          <w:rFonts w:hint="eastAsia"/>
        </w:rPr>
      </w:pPr>
      <w:r w:rsidRPr="005C1C48">
        <w:rPr>
          <w:b/>
          <w:bCs/>
        </w:rPr>
        <w:lastRenderedPageBreak/>
        <w:t>商业使用许可</w:t>
      </w:r>
      <w:proofErr w:type="gramStart"/>
      <w:r w:rsidRPr="005C1C48">
        <w:rPr>
          <w:b/>
          <w:bCs/>
        </w:rPr>
        <w:t>：</w:t>
      </w:r>
      <w:r w:rsidRPr="005C1C48">
        <w:t xml:space="preserve"> 对于</w:t>
      </w:r>
      <w:proofErr w:type="gramEnd"/>
      <w:r w:rsidRPr="005C1C48">
        <w:t>制药企业而言，Open Targets 的数据采用CC0 1.0许可（即公共领域），这意味着企业可以无障碍地将其数据全量下载并整合进内部的私有知识图谱中，而无需支付昂贵的授权费用或担心法律风险。这种开放性使其成为企业内部数据架构的基础底座。</w:t>
      </w:r>
    </w:p>
    <w:p w14:paraId="4E181F73" w14:textId="77777777" w:rsidR="005C1C48" w:rsidRPr="005C1C48" w:rsidRDefault="005C1C48" w:rsidP="005C1C48">
      <w:pPr>
        <w:rPr>
          <w:rFonts w:hint="eastAsia"/>
          <w:b/>
          <w:bCs/>
        </w:rPr>
      </w:pPr>
      <w:proofErr w:type="gramStart"/>
      <w:r w:rsidRPr="005C1C48">
        <w:rPr>
          <w:b/>
          <w:bCs/>
        </w:rPr>
        <w:t>2.2 安全</w:t>
      </w:r>
      <w:proofErr w:type="gramEnd"/>
      <w:r w:rsidRPr="005C1C48">
        <w:rPr>
          <w:b/>
          <w:bCs/>
        </w:rPr>
        <w:t>性预测与遗传约束：</w:t>
      </w:r>
      <w:proofErr w:type="spellStart"/>
      <w:r w:rsidRPr="005C1C48">
        <w:rPr>
          <w:b/>
          <w:bCs/>
        </w:rPr>
        <w:t>gnomAD</w:t>
      </w:r>
      <w:proofErr w:type="spellEnd"/>
      <w:r w:rsidRPr="005C1C48">
        <w:rPr>
          <w:b/>
          <w:bCs/>
        </w:rPr>
        <w:t xml:space="preserve"> 与 </w:t>
      </w:r>
      <w:proofErr w:type="spellStart"/>
      <w:r w:rsidRPr="005C1C48">
        <w:rPr>
          <w:b/>
          <w:bCs/>
        </w:rPr>
        <w:t>ClinVar</w:t>
      </w:r>
      <w:proofErr w:type="spellEnd"/>
    </w:p>
    <w:p w14:paraId="0E7B5001" w14:textId="77777777" w:rsidR="005C1C48" w:rsidRPr="005C1C48" w:rsidRDefault="005C1C48" w:rsidP="005C1C48">
      <w:pPr>
        <w:rPr>
          <w:rFonts w:hint="eastAsia"/>
        </w:rPr>
      </w:pPr>
      <w:r w:rsidRPr="005C1C48">
        <w:t>在立项阶段评估靶点的潜在安全性风险是避免后期毒性失败的关键。遗传学数据在此方面提供了独特的“天然实验”视角。</w:t>
      </w:r>
    </w:p>
    <w:p w14:paraId="2BB8E5F2" w14:textId="77777777" w:rsidR="005C1C48" w:rsidRPr="005C1C48" w:rsidRDefault="005C1C48" w:rsidP="005C1C48">
      <w:pPr>
        <w:numPr>
          <w:ilvl w:val="0"/>
          <w:numId w:val="3"/>
        </w:numPr>
        <w:rPr>
          <w:rFonts w:hint="eastAsia"/>
        </w:rPr>
      </w:pPr>
      <w:proofErr w:type="spellStart"/>
      <w:r w:rsidRPr="005C1C48">
        <w:rPr>
          <w:b/>
          <w:bCs/>
        </w:rPr>
        <w:t>gnomAD</w:t>
      </w:r>
      <w:proofErr w:type="spellEnd"/>
      <w:r w:rsidRPr="005C1C48">
        <w:rPr>
          <w:b/>
          <w:bCs/>
        </w:rPr>
        <w:t xml:space="preserve"> </w:t>
      </w:r>
      <w:proofErr w:type="gramStart"/>
      <w:r w:rsidRPr="005C1C48">
        <w:rPr>
          <w:b/>
          <w:bCs/>
        </w:rPr>
        <w:t>(Genome Aggregation Database)：</w:t>
      </w:r>
      <w:r w:rsidRPr="005C1C48">
        <w:t xml:space="preserve"> 该</w:t>
      </w:r>
      <w:proofErr w:type="gramEnd"/>
      <w:r w:rsidRPr="005C1C48">
        <w:t xml:space="preserve">数据库汇集了来自不同人群的外显子组和全基因组测序数据，是评估“遗传约束”（Genetic Constraint）的权威资源。通过分析某个基因在健康人群中对功能缺失（Loss-of-Function, </w:t>
      </w:r>
      <w:proofErr w:type="spellStart"/>
      <w:r w:rsidRPr="005C1C48">
        <w:t>LoF</w:t>
      </w:r>
      <w:proofErr w:type="spellEnd"/>
      <w:r w:rsidRPr="005C1C48">
        <w:t>）突变的耐受程度（如</w:t>
      </w:r>
      <w:proofErr w:type="spellStart"/>
      <w:r w:rsidRPr="005C1C48">
        <w:t>pLI</w:t>
      </w:r>
      <w:proofErr w:type="spellEnd"/>
      <w:r w:rsidRPr="005C1C48">
        <w:t>评分），研发团队可以预测抑制该靶点是否会引发严重的副作用。如果一个基因在人群中极少发生</w:t>
      </w:r>
      <w:proofErr w:type="spellStart"/>
      <w:r w:rsidRPr="005C1C48">
        <w:t>LoF</w:t>
      </w:r>
      <w:proofErr w:type="spellEnd"/>
      <w:r w:rsidRPr="005C1C48">
        <w:t>突变（即高度约束），通过药物抑制该靶点极有可能导致严重的毒性反应。</w:t>
      </w:r>
    </w:p>
    <w:p w14:paraId="6F5A3580" w14:textId="77777777" w:rsidR="005C1C48" w:rsidRPr="005C1C48" w:rsidRDefault="005C1C48" w:rsidP="005C1C48">
      <w:pPr>
        <w:numPr>
          <w:ilvl w:val="0"/>
          <w:numId w:val="3"/>
        </w:numPr>
        <w:rPr>
          <w:rFonts w:hint="eastAsia"/>
        </w:rPr>
      </w:pPr>
      <w:proofErr w:type="spellStart"/>
      <w:r w:rsidRPr="005C1C48">
        <w:rPr>
          <w:b/>
          <w:bCs/>
        </w:rPr>
        <w:t>ClinVar</w:t>
      </w:r>
      <w:proofErr w:type="spellEnd"/>
      <w:proofErr w:type="gramStart"/>
      <w:r w:rsidRPr="005C1C48">
        <w:rPr>
          <w:b/>
          <w:bCs/>
        </w:rPr>
        <w:t>：</w:t>
      </w:r>
      <w:r w:rsidRPr="005C1C48">
        <w:t xml:space="preserve"> 该</w:t>
      </w:r>
      <w:proofErr w:type="gramEnd"/>
      <w:r w:rsidRPr="005C1C48">
        <w:t>数据库提供了遗传变异与人类健康状况关系的临床解释。在立项时，通过</w:t>
      </w:r>
      <w:proofErr w:type="spellStart"/>
      <w:r w:rsidRPr="005C1C48">
        <w:t>ClinVar</w:t>
      </w:r>
      <w:proofErr w:type="spellEnd"/>
      <w:r w:rsidRPr="005C1C48">
        <w:t>可以查询靶点基因的突变是否已知与某种遗传病相关。这种“反向验证”可以帮助团队预判激动或抑制该靶点可能带来的全身性表型后果，从而在分子设计阶段就规避潜在的脱靶或在靶毒性。</w:t>
      </w:r>
    </w:p>
    <w:p w14:paraId="72C35F5D" w14:textId="77777777" w:rsidR="005C1C48" w:rsidRPr="005C1C48" w:rsidRDefault="005C1C48" w:rsidP="005C1C48">
      <w:pPr>
        <w:rPr>
          <w:rFonts w:hint="eastAsia"/>
          <w:b/>
          <w:bCs/>
        </w:rPr>
      </w:pPr>
      <w:proofErr w:type="gramStart"/>
      <w:r w:rsidRPr="005C1C48">
        <w:rPr>
          <w:b/>
          <w:bCs/>
        </w:rPr>
        <w:t>2.3 化学</w:t>
      </w:r>
      <w:proofErr w:type="gramEnd"/>
      <w:r w:rsidRPr="005C1C48">
        <w:rPr>
          <w:b/>
          <w:bCs/>
        </w:rPr>
        <w:t>空间与成药性评估：</w:t>
      </w:r>
      <w:proofErr w:type="spellStart"/>
      <w:r w:rsidRPr="005C1C48">
        <w:rPr>
          <w:b/>
          <w:bCs/>
        </w:rPr>
        <w:t>ChEMBL</w:t>
      </w:r>
      <w:proofErr w:type="spellEnd"/>
    </w:p>
    <w:p w14:paraId="4C2E7A54" w14:textId="77777777" w:rsidR="005C1C48" w:rsidRPr="005C1C48" w:rsidRDefault="005C1C48" w:rsidP="005C1C48">
      <w:pPr>
        <w:rPr>
          <w:rFonts w:hint="eastAsia"/>
        </w:rPr>
      </w:pPr>
      <w:proofErr w:type="spellStart"/>
      <w:r w:rsidRPr="005C1C48">
        <w:rPr>
          <w:b/>
          <w:bCs/>
        </w:rPr>
        <w:t>ChEMBL</w:t>
      </w:r>
      <w:proofErr w:type="spellEnd"/>
      <w:r w:rsidRPr="005C1C48">
        <w:t xml:space="preserve"> 是全球最大的开放获取生物活性数据库，对于评估靶点的“成药性”（</w:t>
      </w:r>
      <w:proofErr w:type="spellStart"/>
      <w:r w:rsidRPr="005C1C48">
        <w:t>Druggability</w:t>
      </w:r>
      <w:proofErr w:type="spellEnd"/>
      <w:r w:rsidRPr="005C1C48">
        <w:t>）至关重要。</w:t>
      </w:r>
    </w:p>
    <w:p w14:paraId="2E17D8FC" w14:textId="77777777" w:rsidR="005C1C48" w:rsidRPr="005C1C48" w:rsidRDefault="005C1C48" w:rsidP="005C1C48">
      <w:pPr>
        <w:numPr>
          <w:ilvl w:val="0"/>
          <w:numId w:val="4"/>
        </w:numPr>
        <w:rPr>
          <w:rFonts w:hint="eastAsia"/>
        </w:rPr>
      </w:pPr>
      <w:r w:rsidRPr="005C1C48">
        <w:rPr>
          <w:b/>
          <w:bCs/>
        </w:rPr>
        <w:t>工具化合物的发现：</w:t>
      </w:r>
      <w:r w:rsidRPr="005C1C48">
        <w:t xml:space="preserve"> </w:t>
      </w:r>
      <w:proofErr w:type="spellStart"/>
      <w:r w:rsidRPr="005C1C48">
        <w:t>ChEMBL</w:t>
      </w:r>
      <w:proofErr w:type="spellEnd"/>
      <w:r w:rsidRPr="005C1C48">
        <w:t xml:space="preserve"> 收录了超过200万个化合物和1500万条生物活性数据（如IC50, Ki, KD等），这些数据均由人工从主要药物化学期刊中提取。在立项决策中，如果能从</w:t>
      </w:r>
      <w:proofErr w:type="spellStart"/>
      <w:r w:rsidRPr="005C1C48">
        <w:t>ChEMBL</w:t>
      </w:r>
      <w:proofErr w:type="spellEnd"/>
      <w:r w:rsidRPr="005C1C48">
        <w:t>中找到针对目标靶点的活性化合物（工具分子），将极大地加速概念验证（Proof of Concept, PoC）实验的开展。</w:t>
      </w:r>
    </w:p>
    <w:p w14:paraId="63EC07AC" w14:textId="77777777" w:rsidR="005C1C48" w:rsidRPr="005C1C48" w:rsidRDefault="005C1C48" w:rsidP="005C1C48">
      <w:pPr>
        <w:numPr>
          <w:ilvl w:val="0"/>
          <w:numId w:val="4"/>
        </w:numPr>
        <w:rPr>
          <w:rFonts w:hint="eastAsia"/>
        </w:rPr>
      </w:pPr>
      <w:r w:rsidRPr="005C1C48">
        <w:rPr>
          <w:b/>
          <w:bCs/>
        </w:rPr>
        <w:t>商业与开源的互补</w:t>
      </w:r>
      <w:proofErr w:type="gramStart"/>
      <w:r w:rsidRPr="005C1C48">
        <w:rPr>
          <w:b/>
          <w:bCs/>
        </w:rPr>
        <w:t>：</w:t>
      </w:r>
      <w:r w:rsidRPr="005C1C48">
        <w:t xml:space="preserve"> 虽然</w:t>
      </w:r>
      <w:proofErr w:type="spellStart"/>
      <w:proofErr w:type="gramEnd"/>
      <w:r w:rsidRPr="005C1C48">
        <w:t>ChEMBL</w:t>
      </w:r>
      <w:proofErr w:type="spellEnd"/>
      <w:r w:rsidRPr="005C1C48">
        <w:t>提供了海量的活性数据，但其更新频率和专利覆盖度不如商业数据库。因此，它通常作为初步筛选和模型训练数据集，而在深入的构效关系分析时，往往需要结合商业数据库。</w:t>
      </w:r>
    </w:p>
    <w:p w14:paraId="70EF404D" w14:textId="77777777" w:rsidR="005C1C48" w:rsidRPr="005C1C48" w:rsidRDefault="00000000" w:rsidP="005C1C48">
      <w:pPr>
        <w:rPr>
          <w:rFonts w:hint="eastAsia"/>
        </w:rPr>
      </w:pPr>
      <w:r>
        <w:pict w14:anchorId="47039A26">
          <v:rect id="_x0000_i1027" style="width:0;height:1.5pt" o:hralign="center" o:hrstd="t" o:hr="t" fillcolor="#a0a0a0" stroked="f"/>
        </w:pict>
      </w:r>
    </w:p>
    <w:p w14:paraId="2582BC9D" w14:textId="77777777" w:rsidR="005C1C48" w:rsidRPr="005C1C48" w:rsidRDefault="005C1C48" w:rsidP="005C1C48">
      <w:pPr>
        <w:rPr>
          <w:rFonts w:hint="eastAsia"/>
          <w:b/>
          <w:bCs/>
        </w:rPr>
      </w:pPr>
      <w:r w:rsidRPr="005C1C48">
        <w:rPr>
          <w:b/>
          <w:bCs/>
        </w:rPr>
        <w:t>3</w:t>
      </w:r>
      <w:proofErr w:type="gramStart"/>
      <w:r w:rsidRPr="005C1C48">
        <w:rPr>
          <w:b/>
          <w:bCs/>
        </w:rPr>
        <w:t>. 化学</w:t>
      </w:r>
      <w:proofErr w:type="gramEnd"/>
      <w:r w:rsidRPr="005C1C48">
        <w:rPr>
          <w:b/>
          <w:bCs/>
        </w:rPr>
        <w:t>情报与知识产权（IP）全景：确权与实施自由</w:t>
      </w:r>
    </w:p>
    <w:p w14:paraId="238AA994" w14:textId="77777777" w:rsidR="005C1C48" w:rsidRPr="005C1C48" w:rsidRDefault="005C1C48" w:rsidP="005C1C48">
      <w:pPr>
        <w:rPr>
          <w:rFonts w:hint="eastAsia"/>
        </w:rPr>
      </w:pPr>
      <w:r w:rsidRPr="005C1C48">
        <w:t>一旦确立了生物学靶点，下一个核心问题是：“我们能否设计出一个拥有自主知识产权的分子？”这需要依赖深度的化学结构数据库和专利情报系统。</w:t>
      </w:r>
    </w:p>
    <w:p w14:paraId="199864BD" w14:textId="77777777" w:rsidR="005C1C48" w:rsidRPr="005C1C48" w:rsidRDefault="005C1C48" w:rsidP="005C1C48">
      <w:pPr>
        <w:rPr>
          <w:rFonts w:hint="eastAsia"/>
          <w:b/>
          <w:bCs/>
        </w:rPr>
      </w:pPr>
      <w:proofErr w:type="gramStart"/>
      <w:r w:rsidRPr="005C1C48">
        <w:rPr>
          <w:b/>
          <w:bCs/>
        </w:rPr>
        <w:t>3.1 化学</w:t>
      </w:r>
      <w:proofErr w:type="gramEnd"/>
      <w:r w:rsidRPr="005C1C48">
        <w:rPr>
          <w:b/>
          <w:bCs/>
        </w:rPr>
        <w:t>大数据的双璧：</w:t>
      </w:r>
      <w:proofErr w:type="spellStart"/>
      <w:r w:rsidRPr="005C1C48">
        <w:rPr>
          <w:b/>
          <w:bCs/>
        </w:rPr>
        <w:t>SciFinder</w:t>
      </w:r>
      <w:proofErr w:type="spellEnd"/>
      <w:r w:rsidRPr="005C1C48">
        <w:rPr>
          <w:b/>
          <w:bCs/>
        </w:rPr>
        <w:t xml:space="preserve">-n 与 </w:t>
      </w:r>
      <w:proofErr w:type="spellStart"/>
      <w:r w:rsidRPr="005C1C48">
        <w:rPr>
          <w:b/>
          <w:bCs/>
        </w:rPr>
        <w:t>Reaxys</w:t>
      </w:r>
      <w:proofErr w:type="spellEnd"/>
    </w:p>
    <w:p w14:paraId="065D7590" w14:textId="77777777" w:rsidR="005C1C48" w:rsidRPr="005C1C48" w:rsidRDefault="005C1C48" w:rsidP="005C1C48">
      <w:pPr>
        <w:rPr>
          <w:rFonts w:hint="eastAsia"/>
        </w:rPr>
      </w:pPr>
      <w:r w:rsidRPr="005C1C48">
        <w:lastRenderedPageBreak/>
        <w:t xml:space="preserve">在化学情报领域，CAS </w:t>
      </w:r>
      <w:proofErr w:type="spellStart"/>
      <w:r w:rsidRPr="005C1C48">
        <w:t>SciFinder</w:t>
      </w:r>
      <w:proofErr w:type="spellEnd"/>
      <w:r w:rsidRPr="005C1C48">
        <w:t xml:space="preserve">-n 和 Elsevier </w:t>
      </w:r>
      <w:proofErr w:type="spellStart"/>
      <w:r w:rsidRPr="005C1C48">
        <w:t>Reaxys</w:t>
      </w:r>
      <w:proofErr w:type="spellEnd"/>
      <w:r w:rsidRPr="005C1C48">
        <w:t xml:space="preserve"> 是两个不可或缺但侧重点不同的核心工具。为了支持全面的立项决策，通常建议同时接入这两个系统以确报信息的完整性。</w:t>
      </w:r>
    </w:p>
    <w:p w14:paraId="4A73D30E" w14:textId="77777777" w:rsidR="005C1C48" w:rsidRPr="005C1C48" w:rsidRDefault="005C1C48" w:rsidP="005C1C48">
      <w:pPr>
        <w:numPr>
          <w:ilvl w:val="0"/>
          <w:numId w:val="5"/>
        </w:numPr>
        <w:rPr>
          <w:rFonts w:hint="eastAsia"/>
        </w:rPr>
      </w:pPr>
      <w:r w:rsidRPr="005C1C48">
        <w:rPr>
          <w:b/>
          <w:bCs/>
        </w:rPr>
        <w:t xml:space="preserve">CAS </w:t>
      </w:r>
      <w:proofErr w:type="spellStart"/>
      <w:r w:rsidRPr="005C1C48">
        <w:rPr>
          <w:b/>
          <w:bCs/>
        </w:rPr>
        <w:t>SciFinder</w:t>
      </w:r>
      <w:proofErr w:type="spellEnd"/>
      <w:r w:rsidRPr="005C1C48">
        <w:rPr>
          <w:b/>
          <w:bCs/>
        </w:rPr>
        <w:t>-n：覆盖的广度与新颖性查重</w:t>
      </w:r>
    </w:p>
    <w:p w14:paraId="58748D56" w14:textId="77777777" w:rsidR="005C1C48" w:rsidRPr="005C1C48" w:rsidRDefault="005C1C48" w:rsidP="005C1C48">
      <w:pPr>
        <w:numPr>
          <w:ilvl w:val="1"/>
          <w:numId w:val="5"/>
        </w:numPr>
        <w:rPr>
          <w:rFonts w:hint="eastAsia"/>
        </w:rPr>
      </w:pPr>
      <w:r w:rsidRPr="005C1C48">
        <w:rPr>
          <w:b/>
          <w:bCs/>
        </w:rPr>
        <w:t>核心优势：</w:t>
      </w:r>
      <w:r w:rsidRPr="005C1C48">
        <w:t xml:space="preserve"> </w:t>
      </w:r>
      <w:proofErr w:type="spellStart"/>
      <w:r w:rsidRPr="005C1C48">
        <w:t>SciFinder</w:t>
      </w:r>
      <w:proofErr w:type="spellEnd"/>
      <w:r w:rsidRPr="005C1C48">
        <w:t xml:space="preserve"> 拥有全球最全面的化学物质注册系统（CAS Registry）和专利覆盖范围，特别是对于亚洲（中国、日本、韩国）专利的收录具有绝对优势。它涵盖了从1907年至今的文献和专利，更新速度极快（每日更新）。</w:t>
      </w:r>
    </w:p>
    <w:p w14:paraId="0A5F0080" w14:textId="77777777" w:rsidR="005C1C48" w:rsidRPr="005C1C48" w:rsidRDefault="005C1C48" w:rsidP="005C1C48">
      <w:pPr>
        <w:numPr>
          <w:ilvl w:val="1"/>
          <w:numId w:val="5"/>
        </w:numPr>
        <w:rPr>
          <w:rFonts w:hint="eastAsia"/>
        </w:rPr>
      </w:pPr>
      <w:r w:rsidRPr="005C1C48">
        <w:rPr>
          <w:b/>
          <w:bCs/>
        </w:rPr>
        <w:t>决策支持</w:t>
      </w:r>
      <w:proofErr w:type="gramStart"/>
      <w:r w:rsidRPr="005C1C48">
        <w:rPr>
          <w:b/>
          <w:bCs/>
        </w:rPr>
        <w:t>：</w:t>
      </w:r>
      <w:r w:rsidRPr="005C1C48">
        <w:t xml:space="preserve"> 在</w:t>
      </w:r>
      <w:proofErr w:type="gramEnd"/>
      <w:r w:rsidRPr="005C1C48">
        <w:t>立项阶段，</w:t>
      </w:r>
      <w:proofErr w:type="spellStart"/>
      <w:r w:rsidRPr="005C1C48">
        <w:t>SciFinder</w:t>
      </w:r>
      <w:proofErr w:type="spellEnd"/>
      <w:r w:rsidRPr="005C1C48">
        <w:t xml:space="preserve"> 是进行新颖性检索（Novelty Search）的首选工具。通过其强大的马库什（Markush）结构检索功能，研发团队可以确切地判断拟设计的分子骨架是否落入竞争对手的专利保护范围。这是评估FTO（Freedom to Operate）的第一步。</w:t>
      </w:r>
    </w:p>
    <w:p w14:paraId="79A2E352" w14:textId="77777777" w:rsidR="005C1C48" w:rsidRPr="005C1C48" w:rsidRDefault="005C1C48" w:rsidP="005C1C48">
      <w:pPr>
        <w:numPr>
          <w:ilvl w:val="0"/>
          <w:numId w:val="5"/>
        </w:numPr>
        <w:rPr>
          <w:rFonts w:hint="eastAsia"/>
        </w:rPr>
      </w:pPr>
      <w:r w:rsidRPr="005C1C48">
        <w:rPr>
          <w:b/>
          <w:bCs/>
        </w:rPr>
        <w:t xml:space="preserve">Elsevier </w:t>
      </w:r>
      <w:proofErr w:type="spellStart"/>
      <w:r w:rsidRPr="005C1C48">
        <w:rPr>
          <w:b/>
          <w:bCs/>
        </w:rPr>
        <w:t>Reaxys</w:t>
      </w:r>
      <w:proofErr w:type="spellEnd"/>
      <w:r w:rsidRPr="005C1C48">
        <w:rPr>
          <w:b/>
          <w:bCs/>
        </w:rPr>
        <w:t>：数据的深度与合成规划</w:t>
      </w:r>
    </w:p>
    <w:p w14:paraId="78F7C329" w14:textId="77777777" w:rsidR="005C1C48" w:rsidRPr="005C1C48" w:rsidRDefault="005C1C48" w:rsidP="005C1C48">
      <w:pPr>
        <w:numPr>
          <w:ilvl w:val="1"/>
          <w:numId w:val="5"/>
        </w:numPr>
        <w:rPr>
          <w:rFonts w:hint="eastAsia"/>
        </w:rPr>
      </w:pPr>
      <w:r w:rsidRPr="005C1C48">
        <w:rPr>
          <w:b/>
          <w:bCs/>
        </w:rPr>
        <w:t>核心优势：</w:t>
      </w:r>
      <w:r w:rsidRPr="005C1C48">
        <w:t xml:space="preserve"> </w:t>
      </w:r>
      <w:proofErr w:type="spellStart"/>
      <w:r w:rsidRPr="005C1C48">
        <w:t>Reaxys</w:t>
      </w:r>
      <w:proofErr w:type="spellEnd"/>
      <w:r w:rsidRPr="005C1C48">
        <w:t xml:space="preserve"> 基于Beilstein（有机化学）和</w:t>
      </w:r>
      <w:proofErr w:type="spellStart"/>
      <w:r w:rsidRPr="005C1C48">
        <w:t>Gmelin</w:t>
      </w:r>
      <w:proofErr w:type="spellEnd"/>
      <w:r w:rsidRPr="005C1C48">
        <w:t>（无机化学）手册的深厚积淀，其最显著的特点是实验数据的深度。研究表明，</w:t>
      </w:r>
      <w:proofErr w:type="spellStart"/>
      <w:r w:rsidRPr="005C1C48">
        <w:t>Reaxys</w:t>
      </w:r>
      <w:proofErr w:type="spellEnd"/>
      <w:r w:rsidRPr="005C1C48">
        <w:t xml:space="preserve"> 中收录的实验性质数据点（如熔点、溶解度、光谱数据）数量是</w:t>
      </w:r>
      <w:proofErr w:type="spellStart"/>
      <w:r w:rsidRPr="005C1C48">
        <w:t>SciFinder</w:t>
      </w:r>
      <w:proofErr w:type="spellEnd"/>
      <w:r w:rsidRPr="005C1C48">
        <w:t>的100倍以上。</w:t>
      </w:r>
    </w:p>
    <w:p w14:paraId="5406FE32" w14:textId="77777777" w:rsidR="005C1C48" w:rsidRPr="005C1C48" w:rsidRDefault="005C1C48" w:rsidP="005C1C48">
      <w:pPr>
        <w:numPr>
          <w:ilvl w:val="1"/>
          <w:numId w:val="5"/>
        </w:numPr>
        <w:rPr>
          <w:rFonts w:hint="eastAsia"/>
        </w:rPr>
      </w:pPr>
      <w:r w:rsidRPr="005C1C48">
        <w:rPr>
          <w:b/>
          <w:bCs/>
        </w:rPr>
        <w:t>决策支持</w:t>
      </w:r>
      <w:proofErr w:type="gramStart"/>
      <w:r w:rsidRPr="005C1C48">
        <w:rPr>
          <w:b/>
          <w:bCs/>
        </w:rPr>
        <w:t>：</w:t>
      </w:r>
      <w:r w:rsidRPr="005C1C48">
        <w:t xml:space="preserve"> 对于</w:t>
      </w:r>
      <w:proofErr w:type="gramEnd"/>
      <w:r w:rsidRPr="005C1C48">
        <w:t>药物化学家而言，</w:t>
      </w:r>
      <w:proofErr w:type="spellStart"/>
      <w:r w:rsidRPr="005C1C48">
        <w:t>Reaxys</w:t>
      </w:r>
      <w:proofErr w:type="spellEnd"/>
      <w:r w:rsidRPr="005C1C48">
        <w:t xml:space="preserve"> 提供了更为精准的逆合成分析（Retrosynthesis）工具和反应条件筛选功能。在立项评估分子的合成可行性（Synthetic Accessibility）时，</w:t>
      </w:r>
      <w:proofErr w:type="spellStart"/>
      <w:r w:rsidRPr="005C1C48">
        <w:t>Reaxys</w:t>
      </w:r>
      <w:proofErr w:type="spellEnd"/>
      <w:r w:rsidRPr="005C1C48">
        <w:t>能够快速给出最优合成路线和产率预测，从而评估CMC（化学成分生产与控制）阶段的潜在成本与风险。</w:t>
      </w:r>
    </w:p>
    <w:p w14:paraId="2B529936" w14:textId="77777777" w:rsidR="005C1C48" w:rsidRPr="005C1C48" w:rsidRDefault="005C1C48" w:rsidP="005C1C48">
      <w:pPr>
        <w:rPr>
          <w:rFonts w:hint="eastAsia"/>
          <w:b/>
          <w:bCs/>
        </w:rPr>
      </w:pPr>
      <w:proofErr w:type="gramStart"/>
      <w:r w:rsidRPr="005C1C48">
        <w:rPr>
          <w:b/>
          <w:bCs/>
        </w:rPr>
        <w:t>3.2 专利</w:t>
      </w:r>
      <w:proofErr w:type="gramEnd"/>
      <w:r w:rsidRPr="005C1C48">
        <w:rPr>
          <w:b/>
          <w:bCs/>
        </w:rPr>
        <w:t>全景与法律风险：Derwent Innovation</w:t>
      </w:r>
    </w:p>
    <w:p w14:paraId="1ACC6651" w14:textId="77777777" w:rsidR="005C1C48" w:rsidRPr="005C1C48" w:rsidRDefault="005C1C48" w:rsidP="005C1C48">
      <w:pPr>
        <w:rPr>
          <w:rFonts w:hint="eastAsia"/>
        </w:rPr>
      </w:pPr>
      <w:r w:rsidRPr="005C1C48">
        <w:t>虽然</w:t>
      </w:r>
      <w:proofErr w:type="spellStart"/>
      <w:r w:rsidRPr="005C1C48">
        <w:t>SciFinder</w:t>
      </w:r>
      <w:proofErr w:type="spellEnd"/>
      <w:r w:rsidRPr="005C1C48">
        <w:t>和Google Patents可以进行初步的专利检索，但对于严肃的商业决策，</w:t>
      </w:r>
      <w:r w:rsidRPr="005C1C48">
        <w:rPr>
          <w:b/>
          <w:bCs/>
        </w:rPr>
        <w:t xml:space="preserve">Derwent Innovation </w:t>
      </w:r>
      <w:proofErr w:type="gramStart"/>
      <w:r w:rsidRPr="005C1C48">
        <w:rPr>
          <w:b/>
          <w:bCs/>
        </w:rPr>
        <w:t>(Clarivate)</w:t>
      </w:r>
      <w:proofErr w:type="gramEnd"/>
      <w:r w:rsidRPr="005C1C48">
        <w:t xml:space="preserve"> 提供了不可替代的价值。</w:t>
      </w:r>
    </w:p>
    <w:p w14:paraId="2E7DDFA8" w14:textId="77777777" w:rsidR="005C1C48" w:rsidRPr="005C1C48" w:rsidRDefault="005C1C48" w:rsidP="005C1C48">
      <w:pPr>
        <w:numPr>
          <w:ilvl w:val="0"/>
          <w:numId w:val="6"/>
        </w:numPr>
        <w:rPr>
          <w:rFonts w:hint="eastAsia"/>
        </w:rPr>
      </w:pPr>
      <w:r w:rsidRPr="005C1C48">
        <w:rPr>
          <w:b/>
          <w:bCs/>
        </w:rPr>
        <w:t>德温特世界专利索引（DWPI）</w:t>
      </w:r>
      <w:proofErr w:type="gramStart"/>
      <w:r w:rsidRPr="005C1C48">
        <w:rPr>
          <w:b/>
          <w:bCs/>
        </w:rPr>
        <w:t>：</w:t>
      </w:r>
      <w:r w:rsidRPr="005C1C48">
        <w:t xml:space="preserve"> 专利</w:t>
      </w:r>
      <w:proofErr w:type="gramEnd"/>
      <w:r w:rsidRPr="005C1C48">
        <w:t>文件通常使用晦涩的法律术语（</w:t>
      </w:r>
      <w:proofErr w:type="spellStart"/>
      <w:r w:rsidRPr="005C1C48">
        <w:t>Patentese</w:t>
      </w:r>
      <w:proofErr w:type="spellEnd"/>
      <w:r w:rsidRPr="005C1C48">
        <w:t>）撰写，意在模糊技术细节以扩大保护范围。Derwent的核心价值在于其拥有数百名各领域的专家编辑，将原始专利的标题和摘要改写为清晰、准确的英文技术摘要（DWPI Titles/Abstracts），并对专利家族进行归并。</w:t>
      </w:r>
    </w:p>
    <w:p w14:paraId="2DFA0CA5" w14:textId="77777777" w:rsidR="005C1C48" w:rsidRPr="005C1C48" w:rsidRDefault="005C1C48" w:rsidP="005C1C48">
      <w:pPr>
        <w:numPr>
          <w:ilvl w:val="0"/>
          <w:numId w:val="6"/>
        </w:numPr>
        <w:rPr>
          <w:rFonts w:hint="eastAsia"/>
        </w:rPr>
      </w:pPr>
      <w:r w:rsidRPr="005C1C48">
        <w:rPr>
          <w:b/>
          <w:bCs/>
        </w:rPr>
        <w:t>决策支持</w:t>
      </w:r>
      <w:proofErr w:type="gramStart"/>
      <w:r w:rsidRPr="005C1C48">
        <w:rPr>
          <w:b/>
          <w:bCs/>
        </w:rPr>
        <w:t>：</w:t>
      </w:r>
      <w:r w:rsidRPr="005C1C48">
        <w:t xml:space="preserve"> 这</w:t>
      </w:r>
      <w:proofErr w:type="gramEnd"/>
      <w:r w:rsidRPr="005C1C48">
        <w:t>种深度的增值标引使得FTO分析更加准确，能够帮助决策者识别出那些隐藏在模糊语言背后的“杀手级”专利，避免项目推进数年后因专利侵权而被迫终止。此外，结合AI技术的专利景观分析工具（如</w:t>
      </w:r>
      <w:proofErr w:type="spellStart"/>
      <w:r w:rsidRPr="005C1C48">
        <w:t>PatSnap</w:t>
      </w:r>
      <w:proofErr w:type="spellEnd"/>
      <w:r w:rsidRPr="005C1C48">
        <w:t xml:space="preserve">, </w:t>
      </w:r>
      <w:proofErr w:type="spellStart"/>
      <w:r w:rsidRPr="005C1C48">
        <w:t>Researchly</w:t>
      </w:r>
      <w:proofErr w:type="spellEnd"/>
      <w:r w:rsidRPr="005C1C48">
        <w:t>）可以帮助识别“专利空白区”（White Space），为新药研发寻找不受阻碍的创新切入点。</w:t>
      </w:r>
    </w:p>
    <w:p w14:paraId="6CC3DCE5" w14:textId="77777777" w:rsidR="005C1C48" w:rsidRPr="005C1C48" w:rsidRDefault="00000000" w:rsidP="005C1C48">
      <w:pPr>
        <w:rPr>
          <w:rFonts w:hint="eastAsia"/>
        </w:rPr>
      </w:pPr>
      <w:r>
        <w:lastRenderedPageBreak/>
        <w:pict w14:anchorId="703D709B">
          <v:rect id="_x0000_i1028" style="width:0;height:1.5pt" o:hralign="center" o:hrstd="t" o:hr="t" fillcolor="#a0a0a0" stroked="f"/>
        </w:pict>
      </w:r>
    </w:p>
    <w:p w14:paraId="30FE3DEB" w14:textId="77777777" w:rsidR="005C1C48" w:rsidRPr="005C1C48" w:rsidRDefault="005C1C48" w:rsidP="005C1C48">
      <w:pPr>
        <w:rPr>
          <w:rFonts w:hint="eastAsia"/>
          <w:b/>
          <w:bCs/>
        </w:rPr>
      </w:pPr>
      <w:r w:rsidRPr="005C1C48">
        <w:rPr>
          <w:b/>
          <w:bCs/>
        </w:rPr>
        <w:t>4</w:t>
      </w:r>
      <w:proofErr w:type="gramStart"/>
      <w:r w:rsidRPr="005C1C48">
        <w:rPr>
          <w:b/>
          <w:bCs/>
        </w:rPr>
        <w:t>. 临床</w:t>
      </w:r>
      <w:proofErr w:type="gramEnd"/>
      <w:r w:rsidRPr="005C1C48">
        <w:rPr>
          <w:b/>
          <w:bCs/>
        </w:rPr>
        <w:t>竞争格局与监管情报：红海中的航标</w:t>
      </w:r>
    </w:p>
    <w:p w14:paraId="249A3C9C" w14:textId="77777777" w:rsidR="005C1C48" w:rsidRPr="005C1C48" w:rsidRDefault="005C1C48" w:rsidP="005C1C48">
      <w:pPr>
        <w:rPr>
          <w:rFonts w:hint="eastAsia"/>
        </w:rPr>
      </w:pPr>
      <w:r w:rsidRPr="005C1C48">
        <w:t>立项决策必须基于对未来5-10年竞争格局的预判。这需要接入能够实时追踪全球临床试验动态和监管政策变化的商业情报平台。</w:t>
      </w:r>
    </w:p>
    <w:p w14:paraId="4C13F726" w14:textId="77777777" w:rsidR="005C1C48" w:rsidRPr="005C1C48" w:rsidRDefault="005C1C48" w:rsidP="005C1C48">
      <w:pPr>
        <w:rPr>
          <w:rFonts w:hint="eastAsia"/>
          <w:b/>
          <w:bCs/>
        </w:rPr>
      </w:pPr>
      <w:proofErr w:type="gramStart"/>
      <w:r w:rsidRPr="005C1C48">
        <w:rPr>
          <w:b/>
          <w:bCs/>
        </w:rPr>
        <w:t>4.1 “</w:t>
      </w:r>
      <w:proofErr w:type="gramEnd"/>
      <w:r w:rsidRPr="005C1C48">
        <w:rPr>
          <w:b/>
          <w:bCs/>
        </w:rPr>
        <w:t>三巨头”情报平台的战略定位</w:t>
      </w:r>
    </w:p>
    <w:p w14:paraId="34FD5BC6" w14:textId="77777777" w:rsidR="005C1C48" w:rsidRPr="005C1C48" w:rsidRDefault="005C1C48" w:rsidP="005C1C48">
      <w:pPr>
        <w:rPr>
          <w:rFonts w:hint="eastAsia"/>
        </w:rPr>
      </w:pPr>
      <w:proofErr w:type="spellStart"/>
      <w:r w:rsidRPr="005C1C48">
        <w:t>Citeline</w:t>
      </w:r>
      <w:proofErr w:type="spellEnd"/>
      <w:r w:rsidRPr="005C1C48">
        <w:t xml:space="preserve"> </w:t>
      </w:r>
      <w:proofErr w:type="gramStart"/>
      <w:r w:rsidRPr="005C1C48">
        <w:t>(原Pharma Intelligence)</w:t>
      </w:r>
      <w:proofErr w:type="gramEnd"/>
      <w:r w:rsidRPr="005C1C48">
        <w:t>、</w:t>
      </w:r>
      <w:proofErr w:type="spellStart"/>
      <w:r w:rsidRPr="005C1C48">
        <w:t>Cortellis</w:t>
      </w:r>
      <w:proofErr w:type="spellEnd"/>
      <w:r w:rsidRPr="005C1C48">
        <w:t xml:space="preserve"> </w:t>
      </w:r>
      <w:proofErr w:type="gramStart"/>
      <w:r w:rsidRPr="005C1C48">
        <w:t>(Clarivate)</w:t>
      </w:r>
      <w:proofErr w:type="gramEnd"/>
      <w:r w:rsidRPr="005C1C48">
        <w:t xml:space="preserve"> 和 GlobalData 是目前市场上最主流的药物研发商业情报平台。虽然它们在功能上存在重叠，但在立项决策中的侧重点有所不同。</w:t>
      </w:r>
    </w:p>
    <w:p w14:paraId="76B69524" w14:textId="77777777" w:rsidR="005C1C48" w:rsidRPr="005C1C48" w:rsidRDefault="005C1C48" w:rsidP="005C1C48">
      <w:pPr>
        <w:numPr>
          <w:ilvl w:val="0"/>
          <w:numId w:val="7"/>
        </w:numPr>
        <w:rPr>
          <w:rFonts w:hint="eastAsia"/>
        </w:rPr>
      </w:pPr>
      <w:proofErr w:type="spellStart"/>
      <w:r w:rsidRPr="005C1C48">
        <w:rPr>
          <w:b/>
          <w:bCs/>
        </w:rPr>
        <w:t>Citeline</w:t>
      </w:r>
      <w:proofErr w:type="spellEnd"/>
      <w:r w:rsidRPr="005C1C48">
        <w:rPr>
          <w:b/>
          <w:bCs/>
        </w:rPr>
        <w:t xml:space="preserve"> </w:t>
      </w:r>
      <w:proofErr w:type="gramStart"/>
      <w:r w:rsidRPr="005C1C48">
        <w:rPr>
          <w:b/>
          <w:bCs/>
        </w:rPr>
        <w:t>(</w:t>
      </w:r>
      <w:proofErr w:type="spellStart"/>
      <w:r w:rsidRPr="005C1C48">
        <w:rPr>
          <w:b/>
          <w:bCs/>
        </w:rPr>
        <w:t>Pharmaprojects</w:t>
      </w:r>
      <w:proofErr w:type="spellEnd"/>
      <w:r w:rsidRPr="005C1C48">
        <w:rPr>
          <w:b/>
          <w:bCs/>
        </w:rPr>
        <w:t xml:space="preserve"> &amp; </w:t>
      </w:r>
      <w:proofErr w:type="spellStart"/>
      <w:r w:rsidRPr="005C1C48">
        <w:rPr>
          <w:b/>
          <w:bCs/>
        </w:rPr>
        <w:t>Trialtrove</w:t>
      </w:r>
      <w:proofErr w:type="spellEnd"/>
      <w:r w:rsidRPr="005C1C48">
        <w:rPr>
          <w:b/>
          <w:bCs/>
        </w:rPr>
        <w:t>)</w:t>
      </w:r>
      <w:proofErr w:type="gramEnd"/>
      <w:r w:rsidRPr="005C1C48">
        <w:rPr>
          <w:b/>
          <w:bCs/>
        </w:rPr>
        <w:t>：研发与其临床细节的王者</w:t>
      </w:r>
    </w:p>
    <w:p w14:paraId="55847A97" w14:textId="77777777" w:rsidR="005C1C48" w:rsidRPr="005C1C48" w:rsidRDefault="005C1C48" w:rsidP="005C1C48">
      <w:pPr>
        <w:numPr>
          <w:ilvl w:val="1"/>
          <w:numId w:val="7"/>
        </w:numPr>
        <w:rPr>
          <w:rFonts w:hint="eastAsia"/>
        </w:rPr>
      </w:pPr>
      <w:r w:rsidRPr="005C1C48">
        <w:rPr>
          <w:b/>
          <w:bCs/>
        </w:rPr>
        <w:t>核心价值：</w:t>
      </w:r>
      <w:r w:rsidRPr="005C1C48">
        <w:t xml:space="preserve"> </w:t>
      </w:r>
      <w:proofErr w:type="spellStart"/>
      <w:r w:rsidRPr="005C1C48">
        <w:t>Citeline</w:t>
      </w:r>
      <w:proofErr w:type="spellEnd"/>
      <w:r w:rsidRPr="005C1C48">
        <w:t xml:space="preserve"> 被广泛认为是研发端（R&amp;D-focused）的首选。其 </w:t>
      </w:r>
      <w:proofErr w:type="spellStart"/>
      <w:r w:rsidRPr="005C1C48">
        <w:rPr>
          <w:b/>
          <w:bCs/>
        </w:rPr>
        <w:t>Pharmaprojects</w:t>
      </w:r>
      <w:proofErr w:type="spellEnd"/>
      <w:r w:rsidRPr="005C1C48">
        <w:t xml:space="preserve"> 数据库追踪了全球超过</w:t>
      </w:r>
      <w:proofErr w:type="gramStart"/>
      <w:r w:rsidRPr="005C1C48">
        <w:t>6万</w:t>
      </w:r>
      <w:proofErr w:type="gramEnd"/>
      <w:r w:rsidRPr="005C1C48">
        <w:t xml:space="preserve">种在研药物的详细管线信息。更重要的是，其 </w:t>
      </w:r>
      <w:proofErr w:type="spellStart"/>
      <w:r w:rsidRPr="005C1C48">
        <w:rPr>
          <w:b/>
          <w:bCs/>
        </w:rPr>
        <w:t>Trialtrove</w:t>
      </w:r>
      <w:proofErr w:type="spellEnd"/>
      <w:r w:rsidRPr="005C1C48">
        <w:t xml:space="preserve"> 组件提供了极高颗粒度的临床试验数据，包括具体的入排标准（Inclusion/Exclusion Criteria）、终点设置以及试验基地的历史招募表现。</w:t>
      </w:r>
    </w:p>
    <w:p w14:paraId="565FDE14" w14:textId="77777777" w:rsidR="005C1C48" w:rsidRPr="005C1C48" w:rsidRDefault="005C1C48" w:rsidP="005C1C48">
      <w:pPr>
        <w:numPr>
          <w:ilvl w:val="1"/>
          <w:numId w:val="7"/>
        </w:numPr>
        <w:rPr>
          <w:rFonts w:hint="eastAsia"/>
        </w:rPr>
      </w:pPr>
      <w:r w:rsidRPr="005C1C48">
        <w:rPr>
          <w:b/>
          <w:bCs/>
        </w:rPr>
        <w:t>决策支持</w:t>
      </w:r>
      <w:proofErr w:type="gramStart"/>
      <w:r w:rsidRPr="005C1C48">
        <w:rPr>
          <w:b/>
          <w:bCs/>
        </w:rPr>
        <w:t>：</w:t>
      </w:r>
      <w:r w:rsidRPr="005C1C48">
        <w:t xml:space="preserve"> 在</w:t>
      </w:r>
      <w:proofErr w:type="gramEnd"/>
      <w:r w:rsidRPr="005C1C48">
        <w:t>立项时，团队利用</w:t>
      </w:r>
      <w:proofErr w:type="spellStart"/>
      <w:r w:rsidRPr="005C1C48">
        <w:t>Citeline</w:t>
      </w:r>
      <w:proofErr w:type="spellEnd"/>
      <w:r w:rsidRPr="005C1C48">
        <w:t>来设计具有竞争力的目标产品概况（TPP）。例如，通过分析竞争对手的临床设计，可以发现其受试者人群的局限性，从而在自己的项目中针对这一细分人群进行差异化设计。</w:t>
      </w:r>
    </w:p>
    <w:p w14:paraId="36D77C55" w14:textId="77777777" w:rsidR="005C1C48" w:rsidRPr="005C1C48" w:rsidRDefault="005C1C48" w:rsidP="005C1C48">
      <w:pPr>
        <w:numPr>
          <w:ilvl w:val="0"/>
          <w:numId w:val="7"/>
        </w:numPr>
        <w:rPr>
          <w:rFonts w:hint="eastAsia"/>
        </w:rPr>
      </w:pPr>
      <w:proofErr w:type="spellStart"/>
      <w:r w:rsidRPr="005C1C48">
        <w:rPr>
          <w:b/>
          <w:bCs/>
        </w:rPr>
        <w:t>Cortellis</w:t>
      </w:r>
      <w:proofErr w:type="spellEnd"/>
      <w:r w:rsidRPr="005C1C48">
        <w:rPr>
          <w:b/>
          <w:bCs/>
        </w:rPr>
        <w:t>：监管与全流程整合的专家</w:t>
      </w:r>
    </w:p>
    <w:p w14:paraId="03C9A545" w14:textId="77777777" w:rsidR="005C1C48" w:rsidRPr="005C1C48" w:rsidRDefault="005C1C48" w:rsidP="005C1C48">
      <w:pPr>
        <w:numPr>
          <w:ilvl w:val="1"/>
          <w:numId w:val="7"/>
        </w:numPr>
        <w:rPr>
          <w:rFonts w:hint="eastAsia"/>
        </w:rPr>
      </w:pPr>
      <w:r w:rsidRPr="005C1C48">
        <w:rPr>
          <w:b/>
          <w:bCs/>
        </w:rPr>
        <w:t>核心价值：</w:t>
      </w:r>
      <w:r w:rsidRPr="005C1C48">
        <w:t xml:space="preserve"> </w:t>
      </w:r>
      <w:proofErr w:type="spellStart"/>
      <w:r w:rsidRPr="005C1C48">
        <w:t>Cortellis</w:t>
      </w:r>
      <w:proofErr w:type="spellEnd"/>
      <w:r w:rsidRPr="005C1C48">
        <w:t xml:space="preserve"> 的优势在于其强大的监管情报（Regulatory Intelligence）。它不仅追踪药物管线，还深度整合了全球监管机构的会议记录、审评报告和政策变更。此外，</w:t>
      </w:r>
      <w:proofErr w:type="spellStart"/>
      <w:r w:rsidRPr="005C1C48">
        <w:t>Cortellis</w:t>
      </w:r>
      <w:proofErr w:type="spellEnd"/>
      <w:r w:rsidRPr="005C1C48">
        <w:t xml:space="preserve"> 与Derwent专利数据的无缝连接，使其在评估从“分子到市场”的全生命周期风险时更具优势。</w:t>
      </w:r>
    </w:p>
    <w:p w14:paraId="69D5FA1E" w14:textId="77777777" w:rsidR="005C1C48" w:rsidRPr="005C1C48" w:rsidRDefault="005C1C48" w:rsidP="005C1C48">
      <w:pPr>
        <w:numPr>
          <w:ilvl w:val="1"/>
          <w:numId w:val="7"/>
        </w:numPr>
        <w:rPr>
          <w:rFonts w:hint="eastAsia"/>
        </w:rPr>
      </w:pPr>
      <w:r w:rsidRPr="005C1C48">
        <w:rPr>
          <w:b/>
          <w:bCs/>
        </w:rPr>
        <w:t>决策支持</w:t>
      </w:r>
      <w:proofErr w:type="gramStart"/>
      <w:r w:rsidRPr="005C1C48">
        <w:rPr>
          <w:b/>
          <w:bCs/>
        </w:rPr>
        <w:t>：</w:t>
      </w:r>
      <w:r w:rsidRPr="005C1C48">
        <w:t xml:space="preserve"> 对于</w:t>
      </w:r>
      <w:proofErr w:type="gramEnd"/>
      <w:r w:rsidRPr="005C1C48">
        <w:t>那些打算利用特殊监管路径（如孤儿药、突破性疗法）的项目，</w:t>
      </w:r>
      <w:proofErr w:type="spellStart"/>
      <w:r w:rsidRPr="005C1C48">
        <w:t>Cortellis</w:t>
      </w:r>
      <w:proofErr w:type="spellEnd"/>
      <w:r w:rsidRPr="005C1C48">
        <w:t xml:space="preserve"> 提供的监管先例数据是制定注册策略的关键依据。</w:t>
      </w:r>
    </w:p>
    <w:p w14:paraId="50E937A0" w14:textId="77777777" w:rsidR="005C1C48" w:rsidRPr="005C1C48" w:rsidRDefault="005C1C48" w:rsidP="005C1C48">
      <w:pPr>
        <w:numPr>
          <w:ilvl w:val="0"/>
          <w:numId w:val="7"/>
        </w:numPr>
        <w:rPr>
          <w:rFonts w:hint="eastAsia"/>
        </w:rPr>
      </w:pPr>
      <w:r w:rsidRPr="005C1C48">
        <w:rPr>
          <w:b/>
          <w:bCs/>
        </w:rPr>
        <w:t>GlobalData：商业预测与市场可视化的利器</w:t>
      </w:r>
    </w:p>
    <w:p w14:paraId="1E07D017" w14:textId="77777777" w:rsidR="005C1C48" w:rsidRPr="005C1C48" w:rsidRDefault="005C1C48" w:rsidP="005C1C48">
      <w:pPr>
        <w:numPr>
          <w:ilvl w:val="1"/>
          <w:numId w:val="7"/>
        </w:numPr>
        <w:rPr>
          <w:rFonts w:hint="eastAsia"/>
        </w:rPr>
      </w:pPr>
      <w:r w:rsidRPr="005C1C48">
        <w:rPr>
          <w:b/>
          <w:bCs/>
        </w:rPr>
        <w:t>核心价值</w:t>
      </w:r>
      <w:proofErr w:type="gramStart"/>
      <w:r w:rsidRPr="005C1C48">
        <w:rPr>
          <w:b/>
          <w:bCs/>
        </w:rPr>
        <w:t>：</w:t>
      </w:r>
      <w:r w:rsidRPr="005C1C48">
        <w:t xml:space="preserve"> 相比</w:t>
      </w:r>
      <w:proofErr w:type="gramEnd"/>
      <w:r w:rsidRPr="005C1C48">
        <w:t>于前两者，GlobalData 在商业分析师中更为普及。它提供了强大的市场规模预测模型和流行病学数据，擅长将临床事件转化为财务预测。</w:t>
      </w:r>
    </w:p>
    <w:p w14:paraId="2CC6C977" w14:textId="77777777" w:rsidR="005C1C48" w:rsidRPr="005C1C48" w:rsidRDefault="005C1C48" w:rsidP="005C1C48">
      <w:pPr>
        <w:numPr>
          <w:ilvl w:val="1"/>
          <w:numId w:val="7"/>
        </w:numPr>
        <w:rPr>
          <w:rFonts w:hint="eastAsia"/>
        </w:rPr>
      </w:pPr>
      <w:r w:rsidRPr="005C1C48">
        <w:rPr>
          <w:b/>
          <w:bCs/>
        </w:rPr>
        <w:t>决策支持</w:t>
      </w:r>
      <w:proofErr w:type="gramStart"/>
      <w:r w:rsidRPr="005C1C48">
        <w:rPr>
          <w:b/>
          <w:bCs/>
        </w:rPr>
        <w:t>：</w:t>
      </w:r>
      <w:r w:rsidRPr="005C1C48">
        <w:t xml:space="preserve"> 在</w:t>
      </w:r>
      <w:proofErr w:type="gramEnd"/>
      <w:r w:rsidRPr="005C1C48">
        <w:t>计算ENPV时，GlobalData 提供的销售预测数据往往作为核心输入变量，帮助评估项目的商业回报潜力。</w:t>
      </w:r>
    </w:p>
    <w:p w14:paraId="612B9C2A" w14:textId="77777777" w:rsidR="005C1C48" w:rsidRPr="005C1C48" w:rsidRDefault="005C1C48" w:rsidP="005C1C48">
      <w:pPr>
        <w:rPr>
          <w:rFonts w:hint="eastAsia"/>
          <w:b/>
          <w:bCs/>
        </w:rPr>
      </w:pPr>
      <w:proofErr w:type="gramStart"/>
      <w:r w:rsidRPr="005C1C48">
        <w:rPr>
          <w:b/>
          <w:bCs/>
        </w:rPr>
        <w:lastRenderedPageBreak/>
        <w:t>4.2 中国</w:t>
      </w:r>
      <w:proofErr w:type="gramEnd"/>
      <w:r w:rsidRPr="005C1C48">
        <w:rPr>
          <w:b/>
          <w:bCs/>
        </w:rPr>
        <w:t>视角：NMPA/CDE 数据的战略重要性</w:t>
      </w:r>
    </w:p>
    <w:p w14:paraId="6112F177" w14:textId="77777777" w:rsidR="005C1C48" w:rsidRPr="005C1C48" w:rsidRDefault="005C1C48" w:rsidP="005C1C48">
      <w:pPr>
        <w:rPr>
          <w:rFonts w:hint="eastAsia"/>
        </w:rPr>
      </w:pPr>
      <w:r w:rsidRPr="005C1C48">
        <w:t>随着中国成为全球第二大医药市场及关键的临床试验基地，获取中国监管数据已成为跨国药企和本土创新药企的必修课。</w:t>
      </w:r>
    </w:p>
    <w:p w14:paraId="2EC645E3" w14:textId="77777777" w:rsidR="005C1C48" w:rsidRPr="005C1C48" w:rsidRDefault="005C1C48" w:rsidP="005C1C48">
      <w:pPr>
        <w:numPr>
          <w:ilvl w:val="0"/>
          <w:numId w:val="8"/>
        </w:numPr>
        <w:rPr>
          <w:rFonts w:hint="eastAsia"/>
        </w:rPr>
      </w:pPr>
      <w:r w:rsidRPr="005C1C48">
        <w:rPr>
          <w:b/>
          <w:bCs/>
        </w:rPr>
        <w:t>数据源与透明度提升</w:t>
      </w:r>
      <w:proofErr w:type="gramStart"/>
      <w:r w:rsidRPr="005C1C48">
        <w:rPr>
          <w:b/>
          <w:bCs/>
        </w:rPr>
        <w:t>：</w:t>
      </w:r>
      <w:r w:rsidRPr="005C1C48">
        <w:t xml:space="preserve"> 随着</w:t>
      </w:r>
      <w:proofErr w:type="gramEnd"/>
      <w:r w:rsidRPr="005C1C48">
        <w:t>中国加入ICH以及国家药品监督管理局（NMPA）药品审评中心（CDE）的改革，中国的监管数据透明度显著提升。</w:t>
      </w:r>
      <w:r w:rsidRPr="005C1C48">
        <w:rPr>
          <w:b/>
          <w:bCs/>
        </w:rPr>
        <w:t>CDE 药物临床试验登记与信息公示</w:t>
      </w:r>
      <w:proofErr w:type="gramStart"/>
      <w:r w:rsidRPr="005C1C48">
        <w:rPr>
          <w:b/>
          <w:bCs/>
        </w:rPr>
        <w:t>平台</w:t>
      </w:r>
      <w:r w:rsidRPr="005C1C48">
        <w:t xml:space="preserve"> 是</w:t>
      </w:r>
      <w:proofErr w:type="gramEnd"/>
      <w:r w:rsidRPr="005C1C48">
        <w:t>获取中国临床试验数据的权威来源。NMPA 发布的年度《中国新药注册临床试验进展年度报告》提供了关于中国创新药研发趋势的宏观数据。</w:t>
      </w:r>
    </w:p>
    <w:p w14:paraId="0773DF46" w14:textId="77777777" w:rsidR="005C1C48" w:rsidRPr="005C1C48" w:rsidRDefault="005C1C48" w:rsidP="005C1C48">
      <w:pPr>
        <w:numPr>
          <w:ilvl w:val="0"/>
          <w:numId w:val="8"/>
        </w:numPr>
        <w:rPr>
          <w:rFonts w:hint="eastAsia"/>
        </w:rPr>
      </w:pPr>
      <w:r w:rsidRPr="005C1C48">
        <w:rPr>
          <w:b/>
          <w:bCs/>
        </w:rPr>
        <w:t>决策支持：</w:t>
      </w:r>
    </w:p>
    <w:p w14:paraId="034930B0" w14:textId="77777777" w:rsidR="005C1C48" w:rsidRPr="005C1C48" w:rsidRDefault="005C1C48" w:rsidP="005C1C48">
      <w:pPr>
        <w:numPr>
          <w:ilvl w:val="1"/>
          <w:numId w:val="8"/>
        </w:numPr>
        <w:rPr>
          <w:rFonts w:hint="eastAsia"/>
        </w:rPr>
      </w:pPr>
      <w:r w:rsidRPr="005C1C48">
        <w:rPr>
          <w:b/>
          <w:bCs/>
        </w:rPr>
        <w:t>竞争识别</w:t>
      </w:r>
      <w:proofErr w:type="gramStart"/>
      <w:r w:rsidRPr="005C1C48">
        <w:rPr>
          <w:b/>
          <w:bCs/>
        </w:rPr>
        <w:t>：</w:t>
      </w:r>
      <w:r w:rsidRPr="005C1C48">
        <w:t xml:space="preserve"> 许多</w:t>
      </w:r>
      <w:proofErr w:type="gramEnd"/>
      <w:r w:rsidRPr="005C1C48">
        <w:t>中国本土生物技术公司的早期项目可能尚未被</w:t>
      </w:r>
      <w:proofErr w:type="spellStart"/>
      <w:r w:rsidRPr="005C1C48">
        <w:t>Citeline</w:t>
      </w:r>
      <w:proofErr w:type="spellEnd"/>
      <w:r w:rsidRPr="005C1C48">
        <w:t>等西方数据库收录。直接监测CDE数据可以发现潜在的“隐形”竞争对手。</w:t>
      </w:r>
    </w:p>
    <w:p w14:paraId="29DD8284" w14:textId="77777777" w:rsidR="005C1C48" w:rsidRPr="005C1C48" w:rsidRDefault="005C1C48" w:rsidP="005C1C48">
      <w:pPr>
        <w:numPr>
          <w:ilvl w:val="1"/>
          <w:numId w:val="8"/>
        </w:numPr>
        <w:rPr>
          <w:rFonts w:hint="eastAsia"/>
        </w:rPr>
      </w:pPr>
      <w:r w:rsidRPr="005C1C48">
        <w:rPr>
          <w:b/>
          <w:bCs/>
        </w:rPr>
        <w:t>加速开发</w:t>
      </w:r>
      <w:proofErr w:type="gramStart"/>
      <w:r w:rsidRPr="005C1C48">
        <w:rPr>
          <w:b/>
          <w:bCs/>
        </w:rPr>
        <w:t>：</w:t>
      </w:r>
      <w:r w:rsidRPr="005C1C48">
        <w:t xml:space="preserve"> 了解</w:t>
      </w:r>
      <w:proofErr w:type="gramEnd"/>
      <w:r w:rsidRPr="005C1C48">
        <w:t>CDE对于特定适应症的审评态度（如是否接受境外临床数据、是否鼓励单臂试验）直接影响全球开发策略的制定。2024年的数据显示，中国创新药临床试验数量增长迅速，且大量集中在肿瘤领域，这提示在立项时需充分评估中国临床资源的争夺激烈程度。</w:t>
      </w:r>
    </w:p>
    <w:p w14:paraId="31E4CCBC" w14:textId="77777777" w:rsidR="005C1C48" w:rsidRPr="005C1C48" w:rsidRDefault="00000000" w:rsidP="005C1C48">
      <w:pPr>
        <w:rPr>
          <w:rFonts w:hint="eastAsia"/>
        </w:rPr>
      </w:pPr>
      <w:r>
        <w:pict w14:anchorId="0015CB1F">
          <v:rect id="_x0000_i1029" style="width:0;height:1.5pt" o:hralign="center" o:hrstd="t" o:hr="t" fillcolor="#a0a0a0" stroked="f"/>
        </w:pict>
      </w:r>
    </w:p>
    <w:p w14:paraId="318F1D6B" w14:textId="77777777" w:rsidR="005C1C48" w:rsidRPr="005C1C48" w:rsidRDefault="005C1C48" w:rsidP="005C1C48">
      <w:pPr>
        <w:rPr>
          <w:rFonts w:hint="eastAsia"/>
          <w:b/>
          <w:bCs/>
        </w:rPr>
      </w:pPr>
      <w:r w:rsidRPr="005C1C48">
        <w:rPr>
          <w:b/>
          <w:bCs/>
        </w:rPr>
        <w:t>5</w:t>
      </w:r>
      <w:proofErr w:type="gramStart"/>
      <w:r w:rsidRPr="005C1C48">
        <w:rPr>
          <w:b/>
          <w:bCs/>
        </w:rPr>
        <w:t>. 科学</w:t>
      </w:r>
      <w:proofErr w:type="gramEnd"/>
      <w:r w:rsidRPr="005C1C48">
        <w:rPr>
          <w:b/>
          <w:bCs/>
        </w:rPr>
        <w:t>文献与灰色文献：情报的全面性与时效性</w:t>
      </w:r>
    </w:p>
    <w:p w14:paraId="5A685288" w14:textId="77777777" w:rsidR="005C1C48" w:rsidRPr="005C1C48" w:rsidRDefault="005C1C48" w:rsidP="005C1C48">
      <w:pPr>
        <w:rPr>
          <w:rFonts w:hint="eastAsia"/>
        </w:rPr>
      </w:pPr>
      <w:r w:rsidRPr="005C1C48">
        <w:t>文献调研是立项的基础，但仅仅依赖免费的PubMed往往会导致情报遗漏，造成决策盲区。</w:t>
      </w:r>
    </w:p>
    <w:p w14:paraId="6F33223D" w14:textId="77777777" w:rsidR="005C1C48" w:rsidRPr="005C1C48" w:rsidRDefault="005C1C48" w:rsidP="005C1C48">
      <w:pPr>
        <w:rPr>
          <w:rFonts w:hint="eastAsia"/>
          <w:b/>
          <w:bCs/>
        </w:rPr>
      </w:pPr>
      <w:r w:rsidRPr="005C1C48">
        <w:rPr>
          <w:b/>
          <w:bCs/>
        </w:rPr>
        <w:t>5.1 PubMed 与 Embase 的互补性</w:t>
      </w:r>
    </w:p>
    <w:p w14:paraId="17B58183" w14:textId="77777777" w:rsidR="005C1C48" w:rsidRPr="005C1C48" w:rsidRDefault="005C1C48" w:rsidP="005C1C48">
      <w:pPr>
        <w:numPr>
          <w:ilvl w:val="0"/>
          <w:numId w:val="9"/>
        </w:numPr>
        <w:rPr>
          <w:rFonts w:hint="eastAsia"/>
        </w:rPr>
      </w:pPr>
      <w:r w:rsidRPr="005C1C48">
        <w:rPr>
          <w:b/>
          <w:bCs/>
        </w:rPr>
        <w:t xml:space="preserve">PubMed </w:t>
      </w:r>
      <w:proofErr w:type="gramStart"/>
      <w:r w:rsidRPr="005C1C48">
        <w:rPr>
          <w:b/>
          <w:bCs/>
        </w:rPr>
        <w:t>(MEDLINE)：</w:t>
      </w:r>
      <w:r w:rsidRPr="005C1C48">
        <w:t xml:space="preserve"> 作为</w:t>
      </w:r>
      <w:proofErr w:type="gramEnd"/>
      <w:r w:rsidRPr="005C1C48">
        <w:t>生物医学领域的基石，PubMed 提供了核心期刊的同行评审文献，是获取基础科学知识的首选。</w:t>
      </w:r>
    </w:p>
    <w:p w14:paraId="2936421A" w14:textId="77777777" w:rsidR="005C1C48" w:rsidRPr="005C1C48" w:rsidRDefault="005C1C48" w:rsidP="005C1C48">
      <w:pPr>
        <w:numPr>
          <w:ilvl w:val="0"/>
          <w:numId w:val="9"/>
        </w:numPr>
        <w:rPr>
          <w:rFonts w:hint="eastAsia"/>
        </w:rPr>
      </w:pPr>
      <w:r w:rsidRPr="005C1C48">
        <w:rPr>
          <w:b/>
          <w:bCs/>
        </w:rPr>
        <w:t xml:space="preserve">Embase </w:t>
      </w:r>
      <w:proofErr w:type="gramStart"/>
      <w:r w:rsidRPr="005C1C48">
        <w:rPr>
          <w:b/>
          <w:bCs/>
        </w:rPr>
        <w:t>(Elsevier)：</w:t>
      </w:r>
      <w:r w:rsidRPr="005C1C48">
        <w:t xml:space="preserve"> 对于</w:t>
      </w:r>
      <w:proofErr w:type="gramEnd"/>
      <w:r w:rsidRPr="005C1C48">
        <w:t>立项决策而言，Embase 是必须付费接入的补充资源。</w:t>
      </w:r>
    </w:p>
    <w:p w14:paraId="2192AC2D" w14:textId="77777777" w:rsidR="005C1C48" w:rsidRPr="005C1C48" w:rsidRDefault="005C1C48" w:rsidP="005C1C48">
      <w:pPr>
        <w:numPr>
          <w:ilvl w:val="1"/>
          <w:numId w:val="9"/>
        </w:numPr>
        <w:rPr>
          <w:rFonts w:hint="eastAsia"/>
        </w:rPr>
      </w:pPr>
      <w:r w:rsidRPr="005C1C48">
        <w:rPr>
          <w:b/>
          <w:bCs/>
        </w:rPr>
        <w:t>灰色文献（Grey Literature）的价值：</w:t>
      </w:r>
      <w:r w:rsidRPr="005C1C48">
        <w:t xml:space="preserve"> Embase 收录了超过</w:t>
      </w:r>
      <w:proofErr w:type="gramStart"/>
      <w:r w:rsidRPr="005C1C48">
        <w:t>360万条</w:t>
      </w:r>
      <w:r w:rsidRPr="005C1C48">
        <w:rPr>
          <w:b/>
          <w:bCs/>
        </w:rPr>
        <w:t>会议</w:t>
      </w:r>
      <w:proofErr w:type="gramEnd"/>
      <w:r w:rsidRPr="005C1C48">
        <w:rPr>
          <w:b/>
          <w:bCs/>
        </w:rPr>
        <w:t>摘要</w:t>
      </w:r>
      <w:r w:rsidRPr="005C1C48">
        <w:t>（Conference Abstracts），这些数据通常比正式发表的期刊论文早1-2年面世。在竞争激烈的热门靶点研发中，1-2年的时间差是致命的。竞争对手的早期临床失败或安全性信号往往首先在ASCO、ESMO等学术会议上以海报形式披露。如果仅检索PubMed，研发团队可能会基于过时的信息立项，重复竞争对手已经证明失败的路径。</w:t>
      </w:r>
    </w:p>
    <w:p w14:paraId="12E3EDD4" w14:textId="77777777" w:rsidR="005C1C48" w:rsidRPr="005C1C48" w:rsidRDefault="005C1C48" w:rsidP="005C1C48">
      <w:pPr>
        <w:numPr>
          <w:ilvl w:val="1"/>
          <w:numId w:val="9"/>
        </w:numPr>
        <w:rPr>
          <w:rFonts w:hint="eastAsia"/>
        </w:rPr>
      </w:pPr>
      <w:r w:rsidRPr="005C1C48">
        <w:rPr>
          <w:b/>
          <w:bCs/>
        </w:rPr>
        <w:t>药物警戒与安全性索引：</w:t>
      </w:r>
      <w:r w:rsidRPr="005C1C48">
        <w:t xml:space="preserve"> Embase 使用的 </w:t>
      </w:r>
      <w:proofErr w:type="spellStart"/>
      <w:r w:rsidRPr="005C1C48">
        <w:rPr>
          <w:b/>
          <w:bCs/>
        </w:rPr>
        <w:t>Emtree</w:t>
      </w:r>
      <w:proofErr w:type="spellEnd"/>
      <w:r w:rsidRPr="005C1C48">
        <w:t xml:space="preserve"> 主题词表在药物和</w:t>
      </w:r>
      <w:r w:rsidRPr="005C1C48">
        <w:lastRenderedPageBreak/>
        <w:t>化学品的标引上比PubMed的</w:t>
      </w:r>
      <w:proofErr w:type="spellStart"/>
      <w:r w:rsidRPr="005C1C48">
        <w:t>MeSH</w:t>
      </w:r>
      <w:proofErr w:type="spellEnd"/>
      <w:r w:rsidRPr="005C1C48">
        <w:t>更为细致。这使得它在检索药物不良反应（Adverse Drug Reactions）和毒理学数据时具有极高的查全率和查准率，对于早期安全性风险评估至关重要。</w:t>
      </w:r>
    </w:p>
    <w:p w14:paraId="4D278953" w14:textId="77777777" w:rsidR="005C1C48" w:rsidRPr="005C1C48" w:rsidRDefault="00000000" w:rsidP="005C1C48">
      <w:pPr>
        <w:rPr>
          <w:rFonts w:hint="eastAsia"/>
        </w:rPr>
      </w:pPr>
      <w:r>
        <w:pict w14:anchorId="5F1E0B73">
          <v:rect id="_x0000_i1030" style="width:0;height:1.5pt" o:hralign="center" o:hrstd="t" o:hr="t" fillcolor="#a0a0a0" stroked="f"/>
        </w:pict>
      </w:r>
    </w:p>
    <w:p w14:paraId="00CC0E8C" w14:textId="77777777" w:rsidR="005C1C48" w:rsidRPr="005C1C48" w:rsidRDefault="005C1C48" w:rsidP="005C1C48">
      <w:pPr>
        <w:rPr>
          <w:rFonts w:hint="eastAsia"/>
          <w:b/>
          <w:bCs/>
        </w:rPr>
      </w:pPr>
      <w:r w:rsidRPr="005C1C48">
        <w:rPr>
          <w:b/>
          <w:bCs/>
        </w:rPr>
        <w:t>6</w:t>
      </w:r>
      <w:proofErr w:type="gramStart"/>
      <w:r w:rsidRPr="005C1C48">
        <w:rPr>
          <w:b/>
          <w:bCs/>
        </w:rPr>
        <w:t>. 商业</w:t>
      </w:r>
      <w:proofErr w:type="gramEnd"/>
      <w:r w:rsidRPr="005C1C48">
        <w:rPr>
          <w:b/>
          <w:bCs/>
        </w:rPr>
        <w:t>情报与真实世界证据（RWE）：从临床到市场的跨越</w:t>
      </w:r>
    </w:p>
    <w:p w14:paraId="2F56B8B9" w14:textId="77777777" w:rsidR="005C1C48" w:rsidRPr="005C1C48" w:rsidRDefault="005C1C48" w:rsidP="005C1C48">
      <w:pPr>
        <w:rPr>
          <w:rFonts w:hint="eastAsia"/>
        </w:rPr>
      </w:pPr>
      <w:r w:rsidRPr="005C1C48">
        <w:t>立项决策不仅要看“能不能做出来”，还要看“能不能卖出去”。商业数据的早期介入有助于设定具有市场竞争力的目标产品概况（TPP）。</w:t>
      </w:r>
    </w:p>
    <w:p w14:paraId="2CF95CF6" w14:textId="77777777" w:rsidR="005C1C48" w:rsidRPr="005C1C48" w:rsidRDefault="005C1C48" w:rsidP="005C1C48">
      <w:pPr>
        <w:rPr>
          <w:rFonts w:hint="eastAsia"/>
          <w:b/>
          <w:bCs/>
        </w:rPr>
      </w:pPr>
      <w:proofErr w:type="gramStart"/>
      <w:r w:rsidRPr="005C1C48">
        <w:rPr>
          <w:b/>
          <w:bCs/>
        </w:rPr>
        <w:t>6.1 真实</w:t>
      </w:r>
      <w:proofErr w:type="gramEnd"/>
      <w:r w:rsidRPr="005C1C48">
        <w:rPr>
          <w:b/>
          <w:bCs/>
        </w:rPr>
        <w:t>世界数据（RWD）：定义未满足的临床需求</w:t>
      </w:r>
    </w:p>
    <w:p w14:paraId="757020D8" w14:textId="77777777" w:rsidR="005C1C48" w:rsidRPr="005C1C48" w:rsidRDefault="005C1C48" w:rsidP="005C1C48">
      <w:pPr>
        <w:rPr>
          <w:rFonts w:hint="eastAsia"/>
        </w:rPr>
      </w:pPr>
      <w:r w:rsidRPr="005C1C48">
        <w:t>真实世界证据（RWE）来源于电子病历（EHR）、医保索赔数据（Claims）和患者登记库。在立项阶段，RWD主要用于量化“未满足的医疗需求”（Unmet Medical Need）。</w:t>
      </w:r>
    </w:p>
    <w:p w14:paraId="69A8EDFF" w14:textId="77777777" w:rsidR="005C1C48" w:rsidRPr="005C1C48" w:rsidRDefault="005C1C48" w:rsidP="005C1C48">
      <w:pPr>
        <w:numPr>
          <w:ilvl w:val="0"/>
          <w:numId w:val="10"/>
        </w:numPr>
        <w:rPr>
          <w:rFonts w:hint="eastAsia"/>
        </w:rPr>
      </w:pPr>
      <w:r w:rsidRPr="005C1C48">
        <w:rPr>
          <w:b/>
          <w:bCs/>
        </w:rPr>
        <w:t>Flatiron Health</w:t>
      </w:r>
      <w:proofErr w:type="gramStart"/>
      <w:r w:rsidRPr="005C1C48">
        <w:rPr>
          <w:b/>
          <w:bCs/>
        </w:rPr>
        <w:t>：</w:t>
      </w:r>
      <w:r w:rsidRPr="005C1C48">
        <w:t xml:space="preserve"> 在</w:t>
      </w:r>
      <w:proofErr w:type="gramEnd"/>
      <w:r w:rsidRPr="005C1C48">
        <w:t>肿瘤领域，Flatiron 是公认的标杆。它拥有经过深度清洗和结构化的EHR数据，能够展示患者在真实临床环境下的治疗路径、标准治疗（SoC）的实际效果以及疾病进展情况。</w:t>
      </w:r>
    </w:p>
    <w:p w14:paraId="10BF4B0C" w14:textId="77777777" w:rsidR="005C1C48" w:rsidRPr="005C1C48" w:rsidRDefault="005C1C48" w:rsidP="005C1C48">
      <w:pPr>
        <w:numPr>
          <w:ilvl w:val="1"/>
          <w:numId w:val="10"/>
        </w:numPr>
        <w:rPr>
          <w:rFonts w:hint="eastAsia"/>
        </w:rPr>
      </w:pPr>
      <w:r w:rsidRPr="005C1C48">
        <w:rPr>
          <w:b/>
          <w:bCs/>
        </w:rPr>
        <w:t>决策价值</w:t>
      </w:r>
      <w:proofErr w:type="gramStart"/>
      <w:r w:rsidRPr="005C1C48">
        <w:rPr>
          <w:b/>
          <w:bCs/>
        </w:rPr>
        <w:t>：</w:t>
      </w:r>
      <w:r w:rsidRPr="005C1C48">
        <w:t xml:space="preserve"> 通过</w:t>
      </w:r>
      <w:proofErr w:type="gramEnd"/>
      <w:r w:rsidRPr="005C1C48">
        <w:t>Flatiron数据，研发团队可以构建“合成对照臂”（Synthetic Control Arm），精确估算现有疗法的真实疗效基线。如果新药的目标仅仅是比临床试验中的对照组好，但比真实世界中的最佳实践差，那么该项目在商业上就是不可行的。</w:t>
      </w:r>
    </w:p>
    <w:p w14:paraId="15AEC50F" w14:textId="77777777" w:rsidR="005C1C48" w:rsidRPr="005C1C48" w:rsidRDefault="005C1C48" w:rsidP="005C1C48">
      <w:pPr>
        <w:numPr>
          <w:ilvl w:val="0"/>
          <w:numId w:val="10"/>
        </w:numPr>
        <w:rPr>
          <w:rFonts w:hint="eastAsia"/>
        </w:rPr>
      </w:pPr>
      <w:r w:rsidRPr="005C1C48">
        <w:rPr>
          <w:b/>
          <w:bCs/>
        </w:rPr>
        <w:t xml:space="preserve">Optum 与 Truven </w:t>
      </w:r>
      <w:proofErr w:type="gramStart"/>
      <w:r w:rsidRPr="005C1C48">
        <w:rPr>
          <w:b/>
          <w:bCs/>
        </w:rPr>
        <w:t>(</w:t>
      </w:r>
      <w:proofErr w:type="spellStart"/>
      <w:r w:rsidRPr="005C1C48">
        <w:rPr>
          <w:b/>
          <w:bCs/>
        </w:rPr>
        <w:t>Merative</w:t>
      </w:r>
      <w:proofErr w:type="spellEnd"/>
      <w:r w:rsidRPr="005C1C48">
        <w:rPr>
          <w:b/>
          <w:bCs/>
        </w:rPr>
        <w:t>)：</w:t>
      </w:r>
      <w:r w:rsidRPr="005C1C48">
        <w:t xml:space="preserve"> 这些</w:t>
      </w:r>
      <w:proofErr w:type="gramEnd"/>
      <w:r w:rsidRPr="005C1C48">
        <w:t>数据库主要基于大规模的医保索赔数据。虽然在临床细节上不如Flatiron深入，但在覆盖的广度和患者纵向追踪上具有优势，适合进行大样本的流行病学分析和共病分析，帮助确定目标患者群体的市场规模。</w:t>
      </w:r>
    </w:p>
    <w:p w14:paraId="6CCA7EAD" w14:textId="77777777" w:rsidR="005C1C48" w:rsidRPr="005C1C48" w:rsidRDefault="005C1C48" w:rsidP="005C1C48">
      <w:pPr>
        <w:numPr>
          <w:ilvl w:val="0"/>
          <w:numId w:val="10"/>
        </w:numPr>
        <w:rPr>
          <w:rFonts w:hint="eastAsia"/>
        </w:rPr>
      </w:pPr>
      <w:r w:rsidRPr="005C1C48">
        <w:rPr>
          <w:b/>
          <w:bCs/>
        </w:rPr>
        <w:t>UK Biobank</w:t>
      </w:r>
      <w:proofErr w:type="gramStart"/>
      <w:r w:rsidRPr="005C1C48">
        <w:rPr>
          <w:b/>
          <w:bCs/>
        </w:rPr>
        <w:t>：</w:t>
      </w:r>
      <w:r w:rsidRPr="005C1C48">
        <w:t xml:space="preserve"> 这</w:t>
      </w:r>
      <w:proofErr w:type="gramEnd"/>
      <w:r w:rsidRPr="005C1C48">
        <w:t>是一个独特的资源，结合了50万人的深度基因组数据和长期的电子健康记录。它不仅用于靶点验证（发现基因突变与疾病的自然关联），还用于理解疾病的自然史。对于制药企业，UK Biobank已成为验证靶点安全性和有效性的重要“人类遗传学实验室”。</w:t>
      </w:r>
    </w:p>
    <w:p w14:paraId="2F6AB5D3" w14:textId="77777777" w:rsidR="005C1C48" w:rsidRPr="005C1C48" w:rsidRDefault="005C1C48" w:rsidP="005C1C48">
      <w:pPr>
        <w:rPr>
          <w:rFonts w:hint="eastAsia"/>
          <w:b/>
          <w:bCs/>
        </w:rPr>
      </w:pPr>
      <w:proofErr w:type="gramStart"/>
      <w:r w:rsidRPr="005C1C48">
        <w:rPr>
          <w:b/>
          <w:bCs/>
        </w:rPr>
        <w:t>6.2 市场</w:t>
      </w:r>
      <w:proofErr w:type="gramEnd"/>
      <w:r w:rsidRPr="005C1C48">
        <w:rPr>
          <w:b/>
          <w:bCs/>
        </w:rPr>
        <w:t>准入与销售数据：IQVIA</w:t>
      </w:r>
    </w:p>
    <w:p w14:paraId="2BCE269C" w14:textId="77777777" w:rsidR="005C1C48" w:rsidRPr="005C1C48" w:rsidRDefault="005C1C48" w:rsidP="005C1C48">
      <w:pPr>
        <w:rPr>
          <w:rFonts w:hint="eastAsia"/>
        </w:rPr>
      </w:pPr>
      <w:r w:rsidRPr="005C1C48">
        <w:rPr>
          <w:b/>
          <w:bCs/>
        </w:rPr>
        <w:t>IQVIA MIDAS</w:t>
      </w:r>
      <w:r w:rsidRPr="005C1C48">
        <w:t xml:space="preserve"> 是全球药品销售数据的权威来源，覆盖95个国家。</w:t>
      </w:r>
    </w:p>
    <w:p w14:paraId="1EAC090A" w14:textId="77777777" w:rsidR="005C1C48" w:rsidRPr="005C1C48" w:rsidRDefault="005C1C48" w:rsidP="005C1C48">
      <w:pPr>
        <w:numPr>
          <w:ilvl w:val="0"/>
          <w:numId w:val="11"/>
        </w:numPr>
        <w:rPr>
          <w:rFonts w:hint="eastAsia"/>
        </w:rPr>
      </w:pPr>
      <w:r w:rsidRPr="005C1C48">
        <w:rPr>
          <w:b/>
          <w:bCs/>
        </w:rPr>
        <w:t>决策支持</w:t>
      </w:r>
      <w:proofErr w:type="gramStart"/>
      <w:r w:rsidRPr="005C1C48">
        <w:rPr>
          <w:b/>
          <w:bCs/>
        </w:rPr>
        <w:t>：</w:t>
      </w:r>
      <w:r w:rsidRPr="005C1C48">
        <w:t xml:space="preserve"> 在</w:t>
      </w:r>
      <w:proofErr w:type="gramEnd"/>
      <w:r w:rsidRPr="005C1C48">
        <w:t xml:space="preserve">立项时，必须预测产品的峰值销售额（Peak Sales）。MIDAS 提供了竞品的历史销售曲线和市场渗透率数据，结合 </w:t>
      </w:r>
      <w:r w:rsidRPr="005C1C48">
        <w:rPr>
          <w:b/>
          <w:bCs/>
        </w:rPr>
        <w:t>Clarivate Market Access</w:t>
      </w:r>
      <w:r w:rsidRPr="005C1C48">
        <w:t xml:space="preserve"> 等市场准入数据库（关于支付方态度、医保目录准入标准），可以构建出基于证据的收入预测模型。如果数据显示支付方对某一类药物的报销限制极严，那么立项时就需要设定更高的疗效门槛以打动支付方。</w:t>
      </w:r>
    </w:p>
    <w:p w14:paraId="48E37A5B" w14:textId="77777777" w:rsidR="005C1C48" w:rsidRPr="005C1C48" w:rsidRDefault="00000000" w:rsidP="005C1C48">
      <w:pPr>
        <w:rPr>
          <w:rFonts w:hint="eastAsia"/>
        </w:rPr>
      </w:pPr>
      <w:r>
        <w:pict w14:anchorId="1EAA148C">
          <v:rect id="_x0000_i1031" style="width:0;height:1.5pt" o:hralign="center" o:hrstd="t" o:hr="t" fillcolor="#a0a0a0" stroked="f"/>
        </w:pict>
      </w:r>
    </w:p>
    <w:p w14:paraId="59D9D7F6" w14:textId="77777777" w:rsidR="005C1C48" w:rsidRPr="005C1C48" w:rsidRDefault="005C1C48" w:rsidP="005C1C48">
      <w:pPr>
        <w:rPr>
          <w:rFonts w:hint="eastAsia"/>
          <w:b/>
          <w:bCs/>
        </w:rPr>
      </w:pPr>
      <w:r w:rsidRPr="005C1C48">
        <w:rPr>
          <w:b/>
          <w:bCs/>
        </w:rPr>
        <w:lastRenderedPageBreak/>
        <w:t>7</w:t>
      </w:r>
      <w:proofErr w:type="gramStart"/>
      <w:r w:rsidRPr="005C1C48">
        <w:rPr>
          <w:b/>
          <w:bCs/>
        </w:rPr>
        <w:t>. 数据</w:t>
      </w:r>
      <w:proofErr w:type="gramEnd"/>
      <w:r w:rsidRPr="005C1C48">
        <w:rPr>
          <w:b/>
          <w:bCs/>
        </w:rPr>
        <w:t>架构战略：从数据孤岛到数据网格与知识图谱</w:t>
      </w:r>
    </w:p>
    <w:p w14:paraId="153EEF95" w14:textId="77777777" w:rsidR="005C1C48" w:rsidRPr="005C1C48" w:rsidRDefault="005C1C48" w:rsidP="005C1C48">
      <w:pPr>
        <w:rPr>
          <w:rFonts w:hint="eastAsia"/>
        </w:rPr>
      </w:pPr>
      <w:r w:rsidRPr="005C1C48">
        <w:t>上述各类数据集（基因组、化学、临床、商业）通常分散在不同的部门和系统中，形成了“数据孤岛”。为了支持高效的决策，企业需要构建现代化的数据架构。</w:t>
      </w:r>
    </w:p>
    <w:p w14:paraId="2A79DA3B" w14:textId="77777777" w:rsidR="005C1C48" w:rsidRPr="005C1C48" w:rsidRDefault="005C1C48" w:rsidP="005C1C48">
      <w:pPr>
        <w:rPr>
          <w:rFonts w:hint="eastAsia"/>
          <w:b/>
          <w:bCs/>
        </w:rPr>
      </w:pPr>
      <w:proofErr w:type="gramStart"/>
      <w:r w:rsidRPr="005C1C48">
        <w:rPr>
          <w:b/>
          <w:bCs/>
        </w:rPr>
        <w:t>7.1 数据</w:t>
      </w:r>
      <w:proofErr w:type="gramEnd"/>
      <w:r w:rsidRPr="005C1C48">
        <w:rPr>
          <w:b/>
          <w:bCs/>
        </w:rPr>
        <w:t>网格（Data Mesh）：去中心化的数据治理</w:t>
      </w:r>
    </w:p>
    <w:p w14:paraId="1FB5DEA1" w14:textId="77777777" w:rsidR="005C1C48" w:rsidRPr="005C1C48" w:rsidRDefault="005C1C48" w:rsidP="005C1C48">
      <w:pPr>
        <w:rPr>
          <w:rFonts w:hint="eastAsia"/>
        </w:rPr>
      </w:pPr>
      <w:r w:rsidRPr="005C1C48">
        <w:t xml:space="preserve">领先的制药企业（如Novo Nordisk, Roche）正在从单体式的数据湖转向 </w:t>
      </w:r>
      <w:r w:rsidRPr="005C1C48">
        <w:rPr>
          <w:b/>
          <w:bCs/>
        </w:rPr>
        <w:t>Data Mesh</w:t>
      </w:r>
      <w:r w:rsidRPr="005C1C48">
        <w:t xml:space="preserve"> 架构。</w:t>
      </w:r>
    </w:p>
    <w:p w14:paraId="1F2A8E1F" w14:textId="77777777" w:rsidR="005C1C48" w:rsidRPr="005C1C48" w:rsidRDefault="005C1C48" w:rsidP="005C1C48">
      <w:pPr>
        <w:numPr>
          <w:ilvl w:val="0"/>
          <w:numId w:val="12"/>
        </w:numPr>
        <w:rPr>
          <w:rFonts w:hint="eastAsia"/>
        </w:rPr>
      </w:pPr>
      <w:r w:rsidRPr="005C1C48">
        <w:rPr>
          <w:b/>
          <w:bCs/>
        </w:rPr>
        <w:t>核心理念</w:t>
      </w:r>
      <w:proofErr w:type="gramStart"/>
      <w:r w:rsidRPr="005C1C48">
        <w:rPr>
          <w:b/>
          <w:bCs/>
        </w:rPr>
        <w:t>：</w:t>
      </w:r>
      <w:r w:rsidRPr="005C1C48">
        <w:t xml:space="preserve"> 将</w:t>
      </w:r>
      <w:proofErr w:type="gramEnd"/>
      <w:r w:rsidRPr="005C1C48">
        <w:t>数据视为产品（Data as a Product），由各领域的专家（Domain Owners）负责维护。例如，临床运营部门负责维护</w:t>
      </w:r>
      <w:proofErr w:type="spellStart"/>
      <w:r w:rsidRPr="005C1C48">
        <w:t>Citeline</w:t>
      </w:r>
      <w:proofErr w:type="spellEnd"/>
      <w:r w:rsidRPr="005C1C48">
        <w:t>数据的清洗和API接口，生物信息部门负责Open Targets数据的更新。</w:t>
      </w:r>
    </w:p>
    <w:p w14:paraId="3E9B079D" w14:textId="77777777" w:rsidR="005C1C48" w:rsidRPr="005C1C48" w:rsidRDefault="005C1C48" w:rsidP="005C1C48">
      <w:pPr>
        <w:numPr>
          <w:ilvl w:val="0"/>
          <w:numId w:val="12"/>
        </w:numPr>
        <w:rPr>
          <w:rFonts w:hint="eastAsia"/>
        </w:rPr>
      </w:pPr>
      <w:r w:rsidRPr="005C1C48">
        <w:rPr>
          <w:b/>
          <w:bCs/>
        </w:rPr>
        <w:t>价值</w:t>
      </w:r>
      <w:proofErr w:type="gramStart"/>
      <w:r w:rsidRPr="005C1C48">
        <w:rPr>
          <w:b/>
          <w:bCs/>
        </w:rPr>
        <w:t>：</w:t>
      </w:r>
      <w:r w:rsidRPr="005C1C48">
        <w:t xml:space="preserve"> 这</w:t>
      </w:r>
      <w:proofErr w:type="gramEnd"/>
      <w:r w:rsidRPr="005C1C48">
        <w:t>种架构消除了中央IT部门的瓶颈，确保了立项团队能够直接获取由领域专家认证的高质量数据，同时通过联邦治理机制保证了数据的互操作性。</w:t>
      </w:r>
    </w:p>
    <w:p w14:paraId="5C7FEF65" w14:textId="77777777" w:rsidR="005C1C48" w:rsidRPr="005C1C48" w:rsidRDefault="005C1C48" w:rsidP="005C1C48">
      <w:pPr>
        <w:rPr>
          <w:rFonts w:hint="eastAsia"/>
          <w:b/>
          <w:bCs/>
        </w:rPr>
      </w:pPr>
      <w:proofErr w:type="gramStart"/>
      <w:r w:rsidRPr="005C1C48">
        <w:rPr>
          <w:b/>
          <w:bCs/>
        </w:rPr>
        <w:t>7.2 知识</w:t>
      </w:r>
      <w:proofErr w:type="gramEnd"/>
      <w:r w:rsidRPr="005C1C48">
        <w:rPr>
          <w:b/>
          <w:bCs/>
        </w:rPr>
        <w:t>图谱（Knowledge Graph）：洞察力的引擎</w:t>
      </w:r>
    </w:p>
    <w:p w14:paraId="330FDBF8" w14:textId="77777777" w:rsidR="005C1C48" w:rsidRPr="005C1C48" w:rsidRDefault="005C1C48" w:rsidP="005C1C48">
      <w:pPr>
        <w:rPr>
          <w:rFonts w:hint="eastAsia"/>
        </w:rPr>
      </w:pPr>
      <w:r w:rsidRPr="005C1C48">
        <w:t>为了发现隐藏在海量数据中的二阶、三阶关联，构建企业级</w:t>
      </w:r>
      <w:proofErr w:type="gramStart"/>
      <w:r w:rsidRPr="005C1C48">
        <w:t xml:space="preserve">的 </w:t>
      </w:r>
      <w:r w:rsidRPr="005C1C48">
        <w:rPr>
          <w:b/>
          <w:bCs/>
        </w:rPr>
        <w:t>知识图谱</w:t>
      </w:r>
      <w:r w:rsidRPr="005C1C48">
        <w:t xml:space="preserve"> 成为</w:t>
      </w:r>
      <w:proofErr w:type="gramEnd"/>
      <w:r w:rsidRPr="005C1C48">
        <w:t>行业趋势。</w:t>
      </w:r>
    </w:p>
    <w:p w14:paraId="0276909D" w14:textId="77777777" w:rsidR="005C1C48" w:rsidRPr="005C1C48" w:rsidRDefault="005C1C48" w:rsidP="005C1C48">
      <w:pPr>
        <w:numPr>
          <w:ilvl w:val="0"/>
          <w:numId w:val="13"/>
        </w:numPr>
        <w:rPr>
          <w:rFonts w:hint="eastAsia"/>
        </w:rPr>
      </w:pPr>
      <w:r w:rsidRPr="005C1C48">
        <w:rPr>
          <w:b/>
          <w:bCs/>
        </w:rPr>
        <w:t>技术实现</w:t>
      </w:r>
      <w:proofErr w:type="gramStart"/>
      <w:r w:rsidRPr="005C1C48">
        <w:rPr>
          <w:b/>
          <w:bCs/>
        </w:rPr>
        <w:t>：</w:t>
      </w:r>
      <w:r w:rsidRPr="005C1C48">
        <w:t xml:space="preserve"> 利用</w:t>
      </w:r>
      <w:proofErr w:type="gramEnd"/>
      <w:r w:rsidRPr="005C1C48">
        <w:t>图数据库（如Neo4j）和语义技术（如</w:t>
      </w:r>
      <w:proofErr w:type="spellStart"/>
      <w:r w:rsidRPr="005C1C48">
        <w:t>Datavid</w:t>
      </w:r>
      <w:proofErr w:type="spellEnd"/>
      <w:r w:rsidRPr="005C1C48">
        <w:t>, Deep Intelligent Pharma提供的服务），将Open Targets的靶点、</w:t>
      </w:r>
      <w:proofErr w:type="spellStart"/>
      <w:r w:rsidRPr="005C1C48">
        <w:t>ChEMBL</w:t>
      </w:r>
      <w:proofErr w:type="spellEnd"/>
      <w:r w:rsidRPr="005C1C48">
        <w:t>的化合物、Derwent的专利、</w:t>
      </w:r>
      <w:proofErr w:type="spellStart"/>
      <w:r w:rsidRPr="005C1C48">
        <w:t>Citeline</w:t>
      </w:r>
      <w:proofErr w:type="spellEnd"/>
      <w:r w:rsidRPr="005C1C48">
        <w:t>的临床试验以及内部的实验数据连接起来。</w:t>
      </w:r>
    </w:p>
    <w:p w14:paraId="19969082" w14:textId="77777777" w:rsidR="005C1C48" w:rsidRPr="005C1C48" w:rsidRDefault="005C1C48" w:rsidP="005C1C48">
      <w:pPr>
        <w:numPr>
          <w:ilvl w:val="0"/>
          <w:numId w:val="13"/>
        </w:numPr>
        <w:rPr>
          <w:rFonts w:hint="eastAsia"/>
        </w:rPr>
      </w:pPr>
      <w:r w:rsidRPr="005C1C48">
        <w:rPr>
          <w:b/>
          <w:bCs/>
        </w:rPr>
        <w:t>深层洞察示例</w:t>
      </w:r>
      <w:proofErr w:type="gramStart"/>
      <w:r w:rsidRPr="005C1C48">
        <w:rPr>
          <w:b/>
          <w:bCs/>
        </w:rPr>
        <w:t>：</w:t>
      </w:r>
      <w:r w:rsidRPr="005C1C48">
        <w:t xml:space="preserve"> 一个</w:t>
      </w:r>
      <w:proofErr w:type="gramEnd"/>
      <w:r w:rsidRPr="005C1C48">
        <w:t>孤立的查询可能无法回答复杂问题，但知识图谱可以回答：“请找出所有针对非小细胞肺癌的靶点，要求这些靶点在GWAS中有强遗传学证据（来自Open Targets），且相关化合物在早期临床试验中显示出安全性（来自</w:t>
      </w:r>
      <w:proofErr w:type="spellStart"/>
      <w:r w:rsidRPr="005C1C48">
        <w:t>Citeline</w:t>
      </w:r>
      <w:proofErr w:type="spellEnd"/>
      <w:r w:rsidRPr="005C1C48">
        <w:t>），但目前尚未有核心专利覆盖该靶点的变构调节剂（来自Derwent）。”这种跨域关联分析能力是数据驱动决策的最高境界。</w:t>
      </w:r>
    </w:p>
    <w:p w14:paraId="40328AEB" w14:textId="77777777" w:rsidR="005C1C48" w:rsidRPr="005C1C48" w:rsidRDefault="00000000" w:rsidP="005C1C48">
      <w:pPr>
        <w:rPr>
          <w:rFonts w:hint="eastAsia"/>
        </w:rPr>
      </w:pPr>
      <w:r>
        <w:pict w14:anchorId="7DE2F0D5">
          <v:rect id="_x0000_i1032" style="width:0;height:1.5pt" o:hralign="center" o:hrstd="t" o:hr="t" fillcolor="#a0a0a0" stroked="f"/>
        </w:pict>
      </w:r>
    </w:p>
    <w:p w14:paraId="6E0832FC" w14:textId="77777777" w:rsidR="005C1C48" w:rsidRPr="005C1C48" w:rsidRDefault="005C1C48" w:rsidP="005C1C48">
      <w:pPr>
        <w:rPr>
          <w:rFonts w:hint="eastAsia"/>
          <w:b/>
          <w:bCs/>
        </w:rPr>
      </w:pPr>
      <w:r w:rsidRPr="005C1C48">
        <w:rPr>
          <w:b/>
          <w:bCs/>
        </w:rPr>
        <w:t>8</w:t>
      </w:r>
      <w:proofErr w:type="gramStart"/>
      <w:r w:rsidRPr="005C1C48">
        <w:rPr>
          <w:b/>
          <w:bCs/>
        </w:rPr>
        <w:t>. 结论</w:t>
      </w:r>
      <w:proofErr w:type="gramEnd"/>
      <w:r w:rsidRPr="005C1C48">
        <w:rPr>
          <w:b/>
          <w:bCs/>
        </w:rPr>
        <w:t>与战略建议</w:t>
      </w:r>
    </w:p>
    <w:p w14:paraId="4B98D0AD" w14:textId="77777777" w:rsidR="005C1C48" w:rsidRPr="005C1C48" w:rsidRDefault="005C1C48" w:rsidP="005C1C48">
      <w:pPr>
        <w:rPr>
          <w:rFonts w:hint="eastAsia"/>
        </w:rPr>
      </w:pPr>
      <w:r w:rsidRPr="005C1C48">
        <w:t>新药研发立项决策是一场信息战。为了在这场高赔率的赌博中提高胜算，制药企业必须构建一个覆盖全维度的情报网络。本报告建议采取以下分层数据接入策略：</w:t>
      </w:r>
    </w:p>
    <w:p w14:paraId="408A62AD" w14:textId="77777777" w:rsidR="005C1C48" w:rsidRPr="005C1C48" w:rsidRDefault="005C1C48" w:rsidP="005C1C48">
      <w:pPr>
        <w:numPr>
          <w:ilvl w:val="0"/>
          <w:numId w:val="14"/>
        </w:numPr>
        <w:rPr>
          <w:rFonts w:hint="eastAsia"/>
        </w:rPr>
      </w:pPr>
      <w:r w:rsidRPr="005C1C48">
        <w:rPr>
          <w:b/>
          <w:bCs/>
        </w:rPr>
        <w:t>基础层（必须接入）：</w:t>
      </w:r>
    </w:p>
    <w:p w14:paraId="17F85AEC" w14:textId="77777777" w:rsidR="005C1C48" w:rsidRPr="005C1C48" w:rsidRDefault="005C1C48" w:rsidP="005C1C48">
      <w:pPr>
        <w:numPr>
          <w:ilvl w:val="1"/>
          <w:numId w:val="14"/>
        </w:numPr>
        <w:rPr>
          <w:rFonts w:hint="eastAsia"/>
        </w:rPr>
      </w:pPr>
      <w:r w:rsidRPr="005C1C48">
        <w:rPr>
          <w:b/>
          <w:bCs/>
        </w:rPr>
        <w:t>Open Targets Platform</w:t>
      </w:r>
      <w:r w:rsidRPr="005C1C48">
        <w:t>：作为靶点验证的核心枢纽。</w:t>
      </w:r>
    </w:p>
    <w:p w14:paraId="2DC4BB92" w14:textId="77777777" w:rsidR="005C1C48" w:rsidRPr="005C1C48" w:rsidRDefault="005C1C48" w:rsidP="005C1C48">
      <w:pPr>
        <w:numPr>
          <w:ilvl w:val="1"/>
          <w:numId w:val="14"/>
        </w:numPr>
        <w:rPr>
          <w:rFonts w:hint="eastAsia"/>
        </w:rPr>
      </w:pPr>
      <w:r w:rsidRPr="005C1C48">
        <w:rPr>
          <w:b/>
          <w:bCs/>
        </w:rPr>
        <w:t>PubMed &amp; Embase</w:t>
      </w:r>
      <w:r w:rsidRPr="005C1C48">
        <w:t>：确保文献检索的完整性，特别是会议摘要的覆盖。</w:t>
      </w:r>
    </w:p>
    <w:p w14:paraId="6F5C8D7A" w14:textId="77777777" w:rsidR="005C1C48" w:rsidRPr="005C1C48" w:rsidRDefault="005C1C48" w:rsidP="005C1C48">
      <w:pPr>
        <w:numPr>
          <w:ilvl w:val="1"/>
          <w:numId w:val="14"/>
        </w:numPr>
        <w:rPr>
          <w:rFonts w:hint="eastAsia"/>
        </w:rPr>
      </w:pPr>
      <w:proofErr w:type="spellStart"/>
      <w:r w:rsidRPr="005C1C48">
        <w:rPr>
          <w:b/>
          <w:bCs/>
        </w:rPr>
        <w:t>SciFinder</w:t>
      </w:r>
      <w:proofErr w:type="spellEnd"/>
      <w:r w:rsidRPr="005C1C48">
        <w:rPr>
          <w:b/>
          <w:bCs/>
        </w:rPr>
        <w:t>-n</w:t>
      </w:r>
      <w:r w:rsidRPr="005C1C48">
        <w:t>：保障专利新颖性检索的底线。</w:t>
      </w:r>
    </w:p>
    <w:p w14:paraId="4CAC7F6D" w14:textId="77777777" w:rsidR="005C1C48" w:rsidRPr="005C1C48" w:rsidRDefault="005C1C48" w:rsidP="005C1C48">
      <w:pPr>
        <w:numPr>
          <w:ilvl w:val="0"/>
          <w:numId w:val="14"/>
        </w:numPr>
        <w:rPr>
          <w:rFonts w:hint="eastAsia"/>
        </w:rPr>
      </w:pPr>
      <w:r w:rsidRPr="005C1C48">
        <w:rPr>
          <w:b/>
          <w:bCs/>
        </w:rPr>
        <w:lastRenderedPageBreak/>
        <w:t>增强层（强烈建议）：</w:t>
      </w:r>
    </w:p>
    <w:p w14:paraId="10A1470D" w14:textId="77777777" w:rsidR="005C1C48" w:rsidRPr="005C1C48" w:rsidRDefault="005C1C48" w:rsidP="005C1C48">
      <w:pPr>
        <w:numPr>
          <w:ilvl w:val="1"/>
          <w:numId w:val="14"/>
        </w:numPr>
        <w:rPr>
          <w:rFonts w:hint="eastAsia"/>
        </w:rPr>
      </w:pPr>
      <w:proofErr w:type="spellStart"/>
      <w:r w:rsidRPr="005C1C48">
        <w:rPr>
          <w:b/>
          <w:bCs/>
        </w:rPr>
        <w:t>Citeline</w:t>
      </w:r>
      <w:proofErr w:type="spellEnd"/>
      <w:r w:rsidRPr="005C1C48">
        <w:rPr>
          <w:b/>
          <w:bCs/>
        </w:rPr>
        <w:t xml:space="preserve"> 或 </w:t>
      </w:r>
      <w:proofErr w:type="spellStart"/>
      <w:r w:rsidRPr="005C1C48">
        <w:rPr>
          <w:b/>
          <w:bCs/>
        </w:rPr>
        <w:t>Cortellis</w:t>
      </w:r>
      <w:proofErr w:type="spellEnd"/>
      <w:r w:rsidRPr="005C1C48">
        <w:t>：获取深度的临床和监管情报，这是差异化开发的前提。</w:t>
      </w:r>
    </w:p>
    <w:p w14:paraId="162F7805" w14:textId="77777777" w:rsidR="005C1C48" w:rsidRPr="005C1C48" w:rsidRDefault="005C1C48" w:rsidP="005C1C48">
      <w:pPr>
        <w:numPr>
          <w:ilvl w:val="1"/>
          <w:numId w:val="14"/>
        </w:numPr>
        <w:rPr>
          <w:rFonts w:hint="eastAsia"/>
        </w:rPr>
      </w:pPr>
      <w:proofErr w:type="spellStart"/>
      <w:r w:rsidRPr="005C1C48">
        <w:rPr>
          <w:b/>
          <w:bCs/>
        </w:rPr>
        <w:t>gnomAD</w:t>
      </w:r>
      <w:proofErr w:type="spellEnd"/>
      <w:r w:rsidRPr="005C1C48">
        <w:rPr>
          <w:b/>
          <w:bCs/>
        </w:rPr>
        <w:t xml:space="preserve"> &amp; </w:t>
      </w:r>
      <w:proofErr w:type="spellStart"/>
      <w:r w:rsidRPr="005C1C48">
        <w:rPr>
          <w:b/>
          <w:bCs/>
        </w:rPr>
        <w:t>ClinVar</w:t>
      </w:r>
      <w:proofErr w:type="spellEnd"/>
      <w:r w:rsidRPr="005C1C48">
        <w:t>：在早期引入遗传学安全性评估，规避后期毒性。</w:t>
      </w:r>
    </w:p>
    <w:p w14:paraId="361C176E" w14:textId="77777777" w:rsidR="005C1C48" w:rsidRPr="005C1C48" w:rsidRDefault="005C1C48" w:rsidP="005C1C48">
      <w:pPr>
        <w:numPr>
          <w:ilvl w:val="1"/>
          <w:numId w:val="14"/>
        </w:numPr>
        <w:rPr>
          <w:rFonts w:hint="eastAsia"/>
        </w:rPr>
      </w:pPr>
      <w:proofErr w:type="spellStart"/>
      <w:r w:rsidRPr="005C1C48">
        <w:rPr>
          <w:b/>
          <w:bCs/>
        </w:rPr>
        <w:t>Reaxys</w:t>
      </w:r>
      <w:proofErr w:type="spellEnd"/>
      <w:r w:rsidRPr="005C1C48">
        <w:t>：优化合成路线，加速CMC进程。</w:t>
      </w:r>
    </w:p>
    <w:p w14:paraId="6EBBB8F7" w14:textId="77777777" w:rsidR="005C1C48" w:rsidRPr="005C1C48" w:rsidRDefault="005C1C48" w:rsidP="005C1C48">
      <w:pPr>
        <w:numPr>
          <w:ilvl w:val="1"/>
          <w:numId w:val="14"/>
        </w:numPr>
        <w:rPr>
          <w:rFonts w:hint="eastAsia"/>
        </w:rPr>
      </w:pPr>
      <w:r w:rsidRPr="005C1C48">
        <w:rPr>
          <w:b/>
          <w:bCs/>
        </w:rPr>
        <w:t>Derwent Innovation</w:t>
      </w:r>
      <w:r w:rsidRPr="005C1C48">
        <w:t>：进行专业的FTO分析，确保法律安全。</w:t>
      </w:r>
    </w:p>
    <w:p w14:paraId="32B3CC0D" w14:textId="77777777" w:rsidR="005C1C48" w:rsidRPr="005C1C48" w:rsidRDefault="005C1C48" w:rsidP="005C1C48">
      <w:pPr>
        <w:numPr>
          <w:ilvl w:val="0"/>
          <w:numId w:val="14"/>
        </w:numPr>
        <w:rPr>
          <w:rFonts w:hint="eastAsia"/>
        </w:rPr>
      </w:pPr>
      <w:r w:rsidRPr="005C1C48">
        <w:rPr>
          <w:b/>
          <w:bCs/>
        </w:rPr>
        <w:t>战略层（竞争优势）：</w:t>
      </w:r>
    </w:p>
    <w:p w14:paraId="36A7CCFD" w14:textId="77777777" w:rsidR="005C1C48" w:rsidRPr="005C1C48" w:rsidRDefault="005C1C48" w:rsidP="005C1C48">
      <w:pPr>
        <w:numPr>
          <w:ilvl w:val="1"/>
          <w:numId w:val="14"/>
        </w:numPr>
        <w:rPr>
          <w:rFonts w:hint="eastAsia"/>
        </w:rPr>
      </w:pPr>
      <w:r w:rsidRPr="005C1C48">
        <w:rPr>
          <w:b/>
          <w:bCs/>
        </w:rPr>
        <w:t>真实世界数据（Flatiron/UK Biobank）</w:t>
      </w:r>
      <w:r w:rsidRPr="005C1C48">
        <w:t>：利用RWE精确定义临床价值和市场潜力。</w:t>
      </w:r>
    </w:p>
    <w:p w14:paraId="5E6FDD93" w14:textId="77777777" w:rsidR="005C1C48" w:rsidRPr="005C1C48" w:rsidRDefault="005C1C48" w:rsidP="005C1C48">
      <w:pPr>
        <w:numPr>
          <w:ilvl w:val="1"/>
          <w:numId w:val="14"/>
        </w:numPr>
        <w:rPr>
          <w:rFonts w:hint="eastAsia"/>
        </w:rPr>
      </w:pPr>
      <w:r w:rsidRPr="005C1C48">
        <w:rPr>
          <w:b/>
          <w:bCs/>
        </w:rPr>
        <w:t>中国监管数据（NMPA/CDE）</w:t>
      </w:r>
      <w:r w:rsidRPr="005C1C48">
        <w:t>：捕捉全球第二大市场的创新脉搏。</w:t>
      </w:r>
    </w:p>
    <w:p w14:paraId="04943E2D" w14:textId="77777777" w:rsidR="005C1C48" w:rsidRPr="005C1C48" w:rsidRDefault="005C1C48" w:rsidP="005C1C48">
      <w:pPr>
        <w:numPr>
          <w:ilvl w:val="1"/>
          <w:numId w:val="14"/>
        </w:numPr>
        <w:rPr>
          <w:rFonts w:hint="eastAsia"/>
        </w:rPr>
      </w:pPr>
      <w:r w:rsidRPr="005C1C48">
        <w:rPr>
          <w:b/>
          <w:bCs/>
        </w:rPr>
        <w:t>知识图谱架构</w:t>
      </w:r>
      <w:r w:rsidRPr="005C1C48">
        <w:t>：打破孤岛，实现数据资产的指数级增值。</w:t>
      </w:r>
    </w:p>
    <w:p w14:paraId="4621FBCB" w14:textId="77777777" w:rsidR="005C1C48" w:rsidRPr="005C1C48" w:rsidRDefault="005C1C48" w:rsidP="005C1C48">
      <w:pPr>
        <w:rPr>
          <w:rFonts w:hint="eastAsia"/>
        </w:rPr>
      </w:pPr>
      <w:r w:rsidRPr="005C1C48">
        <w:t>通过系统性地接入并整合上述核心数据集，研发决策层将能够从“基于直觉的赌博”转向“基于证据的投资”，显著提升新药研发的成功率与投资回报率。</w:t>
      </w:r>
    </w:p>
    <w:p w14:paraId="5C1C77DD" w14:textId="77777777" w:rsidR="008C1C5A" w:rsidRDefault="008C1C5A">
      <w:pPr>
        <w:rPr>
          <w:rFonts w:hint="eastAsia"/>
        </w:rPr>
      </w:pPr>
    </w:p>
    <w:sectPr w:rsidR="008C1C5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D15"/>
    <w:multiLevelType w:val="multilevel"/>
    <w:tmpl w:val="36B63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313EF"/>
    <w:multiLevelType w:val="multilevel"/>
    <w:tmpl w:val="C9566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01C9E"/>
    <w:multiLevelType w:val="multilevel"/>
    <w:tmpl w:val="06E8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229FE"/>
    <w:multiLevelType w:val="multilevel"/>
    <w:tmpl w:val="5068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730EB"/>
    <w:multiLevelType w:val="multilevel"/>
    <w:tmpl w:val="D8FC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CC6458"/>
    <w:multiLevelType w:val="multilevel"/>
    <w:tmpl w:val="AD1E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A2CA7"/>
    <w:multiLevelType w:val="multilevel"/>
    <w:tmpl w:val="982E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287FDD"/>
    <w:multiLevelType w:val="multilevel"/>
    <w:tmpl w:val="0A301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1512E4"/>
    <w:multiLevelType w:val="multilevel"/>
    <w:tmpl w:val="ED9C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3A084C"/>
    <w:multiLevelType w:val="multilevel"/>
    <w:tmpl w:val="12DAA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906FEE"/>
    <w:multiLevelType w:val="multilevel"/>
    <w:tmpl w:val="90D83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F75AD3"/>
    <w:multiLevelType w:val="multilevel"/>
    <w:tmpl w:val="263C2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101AE0"/>
    <w:multiLevelType w:val="multilevel"/>
    <w:tmpl w:val="71B2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EE310C"/>
    <w:multiLevelType w:val="multilevel"/>
    <w:tmpl w:val="BF7A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738729">
    <w:abstractNumId w:val="6"/>
  </w:num>
  <w:num w:numId="2" w16cid:durableId="2132823202">
    <w:abstractNumId w:val="8"/>
  </w:num>
  <w:num w:numId="3" w16cid:durableId="1968002336">
    <w:abstractNumId w:val="4"/>
  </w:num>
  <w:num w:numId="4" w16cid:durableId="687874845">
    <w:abstractNumId w:val="12"/>
  </w:num>
  <w:num w:numId="5" w16cid:durableId="611977546">
    <w:abstractNumId w:val="10"/>
  </w:num>
  <w:num w:numId="6" w16cid:durableId="492331618">
    <w:abstractNumId w:val="3"/>
  </w:num>
  <w:num w:numId="7" w16cid:durableId="302278884">
    <w:abstractNumId w:val="1"/>
  </w:num>
  <w:num w:numId="8" w16cid:durableId="1257249596">
    <w:abstractNumId w:val="9"/>
  </w:num>
  <w:num w:numId="9" w16cid:durableId="1064181243">
    <w:abstractNumId w:val="0"/>
  </w:num>
  <w:num w:numId="10" w16cid:durableId="318733987">
    <w:abstractNumId w:val="11"/>
  </w:num>
  <w:num w:numId="11" w16cid:durableId="422798119">
    <w:abstractNumId w:val="13"/>
  </w:num>
  <w:num w:numId="12" w16cid:durableId="1134831309">
    <w:abstractNumId w:val="2"/>
  </w:num>
  <w:num w:numId="13" w16cid:durableId="2085100039">
    <w:abstractNumId w:val="5"/>
  </w:num>
  <w:num w:numId="14" w16cid:durableId="5037892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5AB"/>
    <w:rsid w:val="001775AB"/>
    <w:rsid w:val="002D4336"/>
    <w:rsid w:val="003D7ED4"/>
    <w:rsid w:val="00491CBE"/>
    <w:rsid w:val="005C1C48"/>
    <w:rsid w:val="006E5E3B"/>
    <w:rsid w:val="008C1C5A"/>
    <w:rsid w:val="00A537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4ED82"/>
  <w15:chartTrackingRefBased/>
  <w15:docId w15:val="{CECB9D93-66A9-4054-A6C4-98C21E3B9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775A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775A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775A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775A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775A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775A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775A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775A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775A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775A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775A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775A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775AB"/>
    <w:rPr>
      <w:rFonts w:cstheme="majorBidi"/>
      <w:color w:val="0F4761" w:themeColor="accent1" w:themeShade="BF"/>
      <w:sz w:val="28"/>
      <w:szCs w:val="28"/>
    </w:rPr>
  </w:style>
  <w:style w:type="character" w:customStyle="1" w:styleId="50">
    <w:name w:val="标题 5 字符"/>
    <w:basedOn w:val="a0"/>
    <w:link w:val="5"/>
    <w:uiPriority w:val="9"/>
    <w:semiHidden/>
    <w:rsid w:val="001775AB"/>
    <w:rPr>
      <w:rFonts w:cstheme="majorBidi"/>
      <w:color w:val="0F4761" w:themeColor="accent1" w:themeShade="BF"/>
      <w:sz w:val="24"/>
    </w:rPr>
  </w:style>
  <w:style w:type="character" w:customStyle="1" w:styleId="60">
    <w:name w:val="标题 6 字符"/>
    <w:basedOn w:val="a0"/>
    <w:link w:val="6"/>
    <w:uiPriority w:val="9"/>
    <w:semiHidden/>
    <w:rsid w:val="001775AB"/>
    <w:rPr>
      <w:rFonts w:cstheme="majorBidi"/>
      <w:b/>
      <w:bCs/>
      <w:color w:val="0F4761" w:themeColor="accent1" w:themeShade="BF"/>
    </w:rPr>
  </w:style>
  <w:style w:type="character" w:customStyle="1" w:styleId="70">
    <w:name w:val="标题 7 字符"/>
    <w:basedOn w:val="a0"/>
    <w:link w:val="7"/>
    <w:uiPriority w:val="9"/>
    <w:semiHidden/>
    <w:rsid w:val="001775AB"/>
    <w:rPr>
      <w:rFonts w:cstheme="majorBidi"/>
      <w:b/>
      <w:bCs/>
      <w:color w:val="595959" w:themeColor="text1" w:themeTint="A6"/>
    </w:rPr>
  </w:style>
  <w:style w:type="character" w:customStyle="1" w:styleId="80">
    <w:name w:val="标题 8 字符"/>
    <w:basedOn w:val="a0"/>
    <w:link w:val="8"/>
    <w:uiPriority w:val="9"/>
    <w:semiHidden/>
    <w:rsid w:val="001775AB"/>
    <w:rPr>
      <w:rFonts w:cstheme="majorBidi"/>
      <w:color w:val="595959" w:themeColor="text1" w:themeTint="A6"/>
    </w:rPr>
  </w:style>
  <w:style w:type="character" w:customStyle="1" w:styleId="90">
    <w:name w:val="标题 9 字符"/>
    <w:basedOn w:val="a0"/>
    <w:link w:val="9"/>
    <w:uiPriority w:val="9"/>
    <w:semiHidden/>
    <w:rsid w:val="001775AB"/>
    <w:rPr>
      <w:rFonts w:eastAsiaTheme="majorEastAsia" w:cstheme="majorBidi"/>
      <w:color w:val="595959" w:themeColor="text1" w:themeTint="A6"/>
    </w:rPr>
  </w:style>
  <w:style w:type="paragraph" w:styleId="a3">
    <w:name w:val="Title"/>
    <w:basedOn w:val="a"/>
    <w:next w:val="a"/>
    <w:link w:val="a4"/>
    <w:uiPriority w:val="10"/>
    <w:qFormat/>
    <w:rsid w:val="001775A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775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75A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775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775AB"/>
    <w:pPr>
      <w:spacing w:before="160"/>
      <w:jc w:val="center"/>
    </w:pPr>
    <w:rPr>
      <w:i/>
      <w:iCs/>
      <w:color w:val="404040" w:themeColor="text1" w:themeTint="BF"/>
    </w:rPr>
  </w:style>
  <w:style w:type="character" w:customStyle="1" w:styleId="a8">
    <w:name w:val="引用 字符"/>
    <w:basedOn w:val="a0"/>
    <w:link w:val="a7"/>
    <w:uiPriority w:val="29"/>
    <w:rsid w:val="001775AB"/>
    <w:rPr>
      <w:i/>
      <w:iCs/>
      <w:color w:val="404040" w:themeColor="text1" w:themeTint="BF"/>
    </w:rPr>
  </w:style>
  <w:style w:type="paragraph" w:styleId="a9">
    <w:name w:val="List Paragraph"/>
    <w:basedOn w:val="a"/>
    <w:uiPriority w:val="34"/>
    <w:qFormat/>
    <w:rsid w:val="001775AB"/>
    <w:pPr>
      <w:ind w:left="720"/>
      <w:contextualSpacing/>
    </w:pPr>
  </w:style>
  <w:style w:type="character" w:styleId="aa">
    <w:name w:val="Intense Emphasis"/>
    <w:basedOn w:val="a0"/>
    <w:uiPriority w:val="21"/>
    <w:qFormat/>
    <w:rsid w:val="001775AB"/>
    <w:rPr>
      <w:i/>
      <w:iCs/>
      <w:color w:val="0F4761" w:themeColor="accent1" w:themeShade="BF"/>
    </w:rPr>
  </w:style>
  <w:style w:type="paragraph" w:styleId="ab">
    <w:name w:val="Intense Quote"/>
    <w:basedOn w:val="a"/>
    <w:next w:val="a"/>
    <w:link w:val="ac"/>
    <w:uiPriority w:val="30"/>
    <w:qFormat/>
    <w:rsid w:val="00177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775AB"/>
    <w:rPr>
      <w:i/>
      <w:iCs/>
      <w:color w:val="0F4761" w:themeColor="accent1" w:themeShade="BF"/>
    </w:rPr>
  </w:style>
  <w:style w:type="character" w:styleId="ad">
    <w:name w:val="Intense Reference"/>
    <w:basedOn w:val="a0"/>
    <w:uiPriority w:val="32"/>
    <w:qFormat/>
    <w:rsid w:val="001775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4058</TotalTime>
  <Pages>9</Pages>
  <Words>3758</Words>
  <Characters>4436</Characters>
  <Application>Microsoft Office Word</Application>
  <DocSecurity>0</DocSecurity>
  <Lines>221</Lines>
  <Paragraphs>327</Paragraphs>
  <ScaleCrop>false</ScaleCrop>
  <Company/>
  <LinksUpToDate>false</LinksUpToDate>
  <CharactersWithSpaces>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Hansen Huang</dc:creator>
  <cp:keywords/>
  <dc:description/>
  <cp:lastModifiedBy>Hansen Huang</cp:lastModifiedBy>
  <cp:revision>1</cp:revision>
  <dcterms:created xsi:type="dcterms:W3CDTF">2026-02-26T09:10:00Z</dcterms:created>
  <dcterms:modified xsi:type="dcterms:W3CDTF">2026-04-01T06:39:00Z</dcterms:modified>
</cp:coreProperties>
</file>