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Microsoft YaHei" w:hAnsi="Calibri"/>
          <w:b/>
          <w:bCs/>
          <w:color w:val="1F4E79"/>
          <w:sz w:val="40"/>
          <w:szCs w:val="40"/>
        </w:rPr>
        <w:t xml:space="preserve">企业级 AI 能力平台</w:t>
      </w:r>
    </w:p>
    <w:p>
      <w:pPr>
        <w:jc w:val="center"/>
      </w:pPr>
      <w:r>
        <w:rPr>
          <w:rFonts w:ascii="Calibri" w:cs="Calibri" w:eastAsia="Microsoft YaHei" w:hAnsi="Calibri"/>
          <w:b/>
          <w:bCs/>
          <w:color w:val="1F4E79"/>
          <w:sz w:val="56"/>
          <w:szCs w:val="56"/>
        </w:rPr>
        <w:t xml:space="preserve">平台定位路线调研报告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Microsoft YaHei" w:hAnsi="Calibri"/>
          <w:color w:val="2E75B6"/>
          <w:sz w:val="26"/>
          <w:szCs w:val="26"/>
        </w:rPr>
        <w:t xml:space="preserve">治理与供给平台 对比 Agent 能力平台 · 执行循环归属结论</w:t>
      </w:r>
    </w:p>
    <w:p>
      <w:pPr>
        <w:spacing w:before="100"/>
      </w:pPr>
    </w:p>
    <w:p>
      <w:pPr>
        <w:jc w:val="center"/>
      </w:pPr>
      <w:r>
        <w:rPr>
          <w:rFonts w:ascii="Calibri" w:cs="Calibri" w:eastAsia="Microsoft YaHei" w:hAnsi="Calibri"/>
          <w:color w:val="595959"/>
          <w:sz w:val="22"/>
          <w:szCs w:val="22"/>
        </w:rPr>
        <w:t xml:space="preserve">（支撑《建设方案 V1.2》定位澄清 · 作为执行循环归属决策的依据）</w:t>
      </w:r>
    </w:p>
    <w:p>
      <w:pPr>
        <w:spacing w:before="260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文档用途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回答平台应把主要精力放在治理与供给还是自建 Agent 执行能力，并给出执行循环归属的结论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适用读者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平台产品负责人、架构师、研发负责人、安全与合规、项目管理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研究问题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路线划分是否与主流一致；企业应投在哪一侧；本平台首期为何采用平台控制循环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结论性质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依据截至 2026 年中的公开生态信息与项目内部调研，具时效性，实施前须按锁定版本复核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版本 / 日期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V1.0 · 2026 年 9 月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1  结论摘要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两条路线的划分与当前生态一致，但更准确的判据不是"做治理还是做能力"，而是"哪一层会被别人免费做掉，哪一层只有你自己能做"。执行层正在快速商品化，由模型厂商与开源社区免费供给；治理与供给层无法由外部替代，因为它绑定企业自身的身份体系、组织结构、数据分级、业务系统接口与合规要求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因此对绝大多数以业务落地为目标的企业，主要精力应投在治理与供给，执行层跟随并保持可替换。纯治理平台会退化为收费站被业务绕过，所以供给与自助必须与治理同步交付。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本平台采用平台控制循环，不等于走 Agent 能力平台路线。决定治理强度的是管控点的位置，不是循环的位置。当工具执行收敛到唯一入口并全部经能力网关之后，循环在谁那里跑都不影响授权、幂等与审计。首期由平台持有循环，是在适配器成熟度未知时先获取管控确定性，属于工程过渡态，契约需保证未来可让渡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70"/>
        <w:gridCol w:w="4105"/>
        <w:gridCol w:w="1751"/>
      </w:tblGrid>
      <w:tr>
        <w:trPr>
          <w:tblHeader/>
        </w:trPr>
        <w:tc>
          <w:tcPr>
            <w:tcW w:type="dxa" w:w="31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41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175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依据强度</w:t>
            </w:r>
          </w:p>
        </w:tc>
      </w:tr>
      <w:tr>
        <w:tc>
          <w:tcPr>
            <w:tcW w:type="dxa" w:w="3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路线划分是否与主流一致</w:t>
            </w:r>
          </w:p>
        </w:tc>
        <w:tc>
          <w:tcPr>
            <w:tcW w:type="dxa" w:w="41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一致，但应改用商品化判据表述</w:t>
            </w:r>
          </w:p>
        </w:tc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3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企业精力应投向哪一侧</w:t>
            </w:r>
          </w:p>
        </w:tc>
        <w:tc>
          <w:tcPr>
            <w:tcW w:type="dxa" w:w="41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治理与供给为主，执行层跟随</w:t>
            </w:r>
          </w:p>
        </w:tc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3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是否应自研 Agent 执行能力</w:t>
            </w:r>
          </w:p>
        </w:tc>
        <w:tc>
          <w:tcPr>
            <w:tcW w:type="dxa" w:w="41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不应，仅在适配器确实覆盖不了时临时补</w:t>
            </w:r>
          </w:p>
        </w:tc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3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首期是否采用平台控制循环</w:t>
            </w:r>
          </w:p>
        </w:tc>
        <w:tc>
          <w:tcPr>
            <w:tcW w:type="dxa" w:w="41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是，作为过渡态并明确让渡条件</w:t>
            </w:r>
          </w:p>
        </w:tc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3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何时可让渡循环</w:t>
            </w:r>
          </w:p>
        </w:tc>
        <w:tc>
          <w:tcPr>
            <w:tcW w:type="dxa" w:w="41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适配器通过拦截与恢复探针，且真实场景评测达标</w:t>
            </w:r>
          </w:p>
        </w:tc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2  研究问题、判断口径与边界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本报告回答三个问题：两条路线的划分是否与当前主流发展一致；企业建设 AI 能力应用时应把主要精力放在哪一侧；本平台首期为何采用平台控制循环而不是直接交给成熟 Harness。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8"/>
        <w:gridCol w:w="5898"/>
      </w:tblGrid>
      <w:tr>
        <w:trPr>
          <w:tblHeader/>
        </w:trPr>
        <w:tc>
          <w:tcPr>
            <w:tcW w:type="dxa" w:w="312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信号</w:t>
            </w:r>
          </w:p>
        </w:tc>
        <w:tc>
          <w:tcPr>
            <w:tcW w:type="dxa" w:w="589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协议的实际采纳度</w:t>
            </w:r>
          </w:p>
        </w:tc>
        <w:tc>
          <w:tcPr>
            <w:tcW w:type="dxa" w:w="5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一个协议是否被多家主要厂商同时实现，决定该层的可替换性与自研价值</w:t>
            </w:r>
          </w:p>
        </w:tc>
      </w:tr>
      <w:tr>
        <w:tc>
          <w:tcPr>
            <w:tcW w:type="dxa" w:w="31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头部平台的产品走向</w:t>
            </w:r>
          </w:p>
        </w:tc>
        <w:tc>
          <w:tcPr>
            <w:tcW w:type="dxa" w:w="5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厂商把哪一层免费开放、哪一层收费，反映该层的长期盈利结构</w:t>
            </w:r>
          </w:p>
        </w:tc>
      </w:tr>
      <w:tr>
        <w:tc>
          <w:tcPr>
            <w:tcW w:type="dxa" w:w="31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监管与安全框架方向</w:t>
            </w:r>
          </w:p>
        </w:tc>
        <w:tc>
          <w:tcPr>
            <w:tcW w:type="dxa" w:w="5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合规要求决定哪些能力必须由企业自己掌握，无法外包</w:t>
            </w:r>
          </w:p>
        </w:tc>
      </w:tr>
      <w:tr>
        <w:tc>
          <w:tcPr>
            <w:tcW w:type="dxa" w:w="31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开源生态的收敛情况</w:t>
            </w:r>
          </w:p>
        </w:tc>
        <w:tc>
          <w:tcPr>
            <w:tcW w:type="dxa" w:w="5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同一能力的免费实现数量与迭代速度，决定自研投入的半衰期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边界说明。外部生态变化快，本报告的判断具有时效性，实施时应按当时锁定的版本与生态重新核实。报告用于支撑决策，不替代原型验证与概念验证，特别是适配器拦截可靠性与身份委托语义两项必须实测。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3  两条路线的定义与边界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3926"/>
        <w:gridCol w:w="3400"/>
      </w:tblGrid>
      <w:tr>
        <w:trPr>
          <w:tblHeader/>
        </w:trPr>
        <w:tc>
          <w:tcPr>
            <w:tcW w:type="dxa" w:w="17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392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治理与供给平台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Agent 能力平台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目标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让企业 AI 能力统一供给、安全可控、业务自助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让平台自身的 Agent 执行能力达到最强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核心资产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能力目录与复用、身份与授权、审计与回滚、发布与评测、业务系统集成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执行循环、任务规划、上下文工程、子代理、工具编排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主要投入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一次投入多场景复用，随接入场景数增值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持续追赶模型与开源迭代，投入随时间贬值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成功标志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新场景接入周期由月降到天，每次调用可追溯可回滚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复杂任务完成率领先于通用方案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失败模式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只做管控不做供给，沦为收费站被绕过；治理过重拖慢上线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迭代速度追不上免费方案，两三年后整体推倒重来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外部可替代性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低，绑定企业内部体系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高，已有多个免费实现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需要强调的是，两条路线并非互斥选项，而是投入优先级的选择。任何平台都必须具备一定的执行能力，问题在于这部分能力是自研还是集成。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4  市场分层与商品化速度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当前生态已经清晰地分成四层，各层的供给结构与商品化速度差异显著。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35"/>
        <w:gridCol w:w="2958"/>
        <w:gridCol w:w="2933"/>
      </w:tblGrid>
      <w:tr>
        <w:trPr>
          <w:tblHeader/>
        </w:trPr>
        <w:tc>
          <w:tcPr>
            <w:tcW w:type="dxa" w:w="313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层次</w:t>
            </w:r>
          </w:p>
        </w:tc>
        <w:tc>
          <w:tcPr>
            <w:tcW w:type="dxa" w:w="295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典型供给方</w:t>
            </w:r>
          </w:p>
        </w:tc>
        <w:tc>
          <w:tcPr>
            <w:tcW w:type="dxa" w:w="293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商品化程度</w:t>
            </w:r>
          </w:p>
        </w:tc>
      </w:tr>
      <w:tr>
        <w:tc>
          <w:tcPr>
            <w:tcW w:type="dxa" w:w="31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模型层</w:t>
            </w:r>
          </w:p>
        </w:tc>
        <w:tc>
          <w:tcPr>
            <w:tcW w:type="dxa" w:w="29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各基础模型厂商</w:t>
            </w:r>
          </w:p>
        </w:tc>
        <w:tc>
          <w:tcPr>
            <w:tcW w:type="dxa" w:w="29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高，接口趋同，按用量计费</w:t>
            </w:r>
          </w:p>
        </w:tc>
      </w:tr>
      <w:tr>
        <w:tc>
          <w:tcPr>
            <w:tcW w:type="dxa" w:w="31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执行层（Harness 与 Agent Runtime）</w:t>
            </w:r>
          </w:p>
        </w:tc>
        <w:tc>
          <w:tcPr>
            <w:tcW w:type="dxa" w:w="29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模型厂商官方 SDK、云厂商框架、独立开源项目</w:t>
            </w:r>
          </w:p>
        </w:tc>
        <w:tc>
          <w:tcPr>
            <w:tcW w:type="dxa" w:w="29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很高，普遍免费且迭代密集</w:t>
            </w:r>
          </w:p>
        </w:tc>
      </w:tr>
      <w:tr>
        <w:tc>
          <w:tcPr>
            <w:tcW w:type="dxa" w:w="31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治理与供给层（网关、身份、策略、观测、能力目录）</w:t>
            </w:r>
          </w:p>
        </w:tc>
        <w:tc>
          <w:tcPr>
            <w:tcW w:type="dxa" w:w="29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若干开源项目各覆盖一段</w:t>
            </w:r>
          </w:p>
        </w:tc>
        <w:tc>
          <w:tcPr>
            <w:tcW w:type="dxa" w:w="29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低，无一体化赢家，无法开箱对接企业内部体系</w:t>
            </w:r>
          </w:p>
        </w:tc>
      </w:tr>
      <w:tr>
        <w:tc>
          <w:tcPr>
            <w:tcW w:type="dxa" w:w="31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应用层（业务 Agent 与场景）</w:t>
            </w:r>
          </w:p>
        </w:tc>
        <w:tc>
          <w:tcPr>
            <w:tcW w:type="dxa" w:w="29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企业自建</w:t>
            </w:r>
          </w:p>
        </w:tc>
        <w:tc>
          <w:tcPr>
            <w:tcW w:type="dxa" w:w="29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不适用，本身即业务资产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执行层的供给方包含模型厂商的官方代理开发套件、云厂商的代理框架、以及多个独立开源项目，同一类能力普遍存在三个以上免费实现并保持高频迭代。这一层的关键结构性特征是：它是模型消费的入口，厂商有明确动机免费提供，因此长期属于补贴品而非可盈利的差异化点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协议层正在收敛。工具接入、代理间协作、能力打包、观测语义四类协议均已出现被多家主要厂商同时实现的事实标准。协议收敛的直接后果是执行层的可替换成本进一步下降，自研执行能力的相对价值同步走低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治理与供给层的情况相反。现有开源项目分别覆盖模型路由、工具网关、策略判定、追踪与评测中的某一段，尚未出现一体化方案，更没有任何产品能够开箱对接某个特定企业的身份体系、组织结构、数据分级规则与业务系统接口。这一层的工作量无法被外部消化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5  执行层为什么会被商品化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48"/>
        <w:gridCol w:w="6078"/>
      </w:tblGrid>
      <w:tr>
        <w:trPr>
          <w:tblHeader/>
        </w:trPr>
        <w:tc>
          <w:tcPr>
            <w:tcW w:type="dxa" w:w="294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type="dxa" w:w="607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后果</w:t>
            </w:r>
          </w:p>
        </w:tc>
      </w:tr>
      <w:tr>
        <w:tc>
          <w:tcPr>
            <w:tcW w:type="dxa" w:w="29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补贴结构</w:t>
            </w:r>
          </w:p>
        </w:tc>
        <w:tc>
          <w:tcPr>
            <w:tcW w:type="dxa" w:w="60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执行层是模型消费入口，厂商免费提供以扩大用量，自研方难以在成本上竞争</w:t>
            </w:r>
          </w:p>
        </w:tc>
      </w:tr>
      <w:tr>
        <w:tc>
          <w:tcPr>
            <w:tcW w:type="dxa" w:w="29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协议标准化</w:t>
            </w:r>
          </w:p>
        </w:tc>
        <w:tc>
          <w:tcPr>
            <w:tcW w:type="dxa" w:w="60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工具与执行层通过标准协议解耦，替换执行层的成本持续下降</w:t>
            </w:r>
          </w:p>
        </w:tc>
      </w:tr>
      <w:tr>
        <w:tc>
          <w:tcPr>
            <w:tcW w:type="dxa" w:w="29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能力来源在模型侧</w:t>
            </w:r>
          </w:p>
        </w:tc>
        <w:tc>
          <w:tcPr>
            <w:tcW w:type="dxa" w:w="60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执行循环的效果上限主要由模型决定，框架层的边际贡献逐代下降</w:t>
            </w:r>
          </w:p>
        </w:tc>
      </w:tr>
      <w:tr>
        <w:tc>
          <w:tcPr>
            <w:tcW w:type="dxa" w:w="29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开源密度高</w:t>
            </w:r>
          </w:p>
        </w:tc>
        <w:tc>
          <w:tcPr>
            <w:tcW w:type="dxa" w:w="60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同一能力存在多个免费实现相互竞争，任何单点优势都难以维持一个版本周期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综合推论是，自研执行能力的半衰期很短，投入难以沉淀为长期资产。企业若在此投入，需要接受每季度追赶一次的持续成本，且这种追赶不产生可复用的积累。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6  治理与供给层为什么不会被商品化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4"/>
        <w:gridCol w:w="6122"/>
      </w:tblGrid>
      <w:tr>
        <w:trPr>
          <w:tblHeader/>
        </w:trPr>
        <w:tc>
          <w:tcPr>
            <w:tcW w:type="dxa" w:w="290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type="dxa" w:w="612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后果</w:t>
            </w:r>
          </w:p>
        </w:tc>
      </w:tr>
      <w:tr>
        <w:tc>
          <w:tcPr>
            <w:tcW w:type="dxa" w:w="29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强绑定企业内部</w:t>
            </w:r>
          </w:p>
        </w:tc>
        <w:tc>
          <w:tcPr>
            <w:tcW w:type="dxa" w:w="61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身份体系、组织结构、数据分级、业务系统接口各企业不同，外部产品无法预置</w:t>
            </w:r>
          </w:p>
        </w:tc>
      </w:tr>
      <w:tr>
        <w:tc>
          <w:tcPr>
            <w:tcW w:type="dxa" w:w="29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合规要求本地化</w:t>
            </w:r>
          </w:p>
        </w:tc>
        <w:tc>
          <w:tcPr>
            <w:tcW w:type="dxa" w:w="61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行业与地区监管差异大，通用产品只能提供框架，无法提供答案</w:t>
            </w:r>
          </w:p>
        </w:tc>
      </w:tr>
      <w:tr>
        <w:tc>
          <w:tcPr>
            <w:tcW w:type="dxa" w:w="29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复用价值随场景增长</w:t>
            </w:r>
          </w:p>
        </w:tc>
        <w:tc>
          <w:tcPr>
            <w:tcW w:type="dxa" w:w="61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能力目录与标准化接入是一次投入多次收益，接入场景越多价值越高，且越晚建设成本越高</w:t>
            </w:r>
          </w:p>
        </w:tc>
      </w:tr>
      <w:tr>
        <w:tc>
          <w:tcPr>
            <w:tcW w:type="dxa" w:w="29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解除的是真实瓶颈</w:t>
            </w:r>
          </w:p>
        </w:tc>
        <w:tc>
          <w:tcPr>
            <w:tcW w:type="dxa" w:w="61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企业落地的实际卡点通常是没人敢让代理触碰真实系统，而非代理不够聪明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综合推论是，这一层的投入在一年后仍然有效，可沉淀为企业资产。同时它的建设存在时间窗口效应：在场景数量增长前建成，边际成本最低；等到各业务线各自接入模型之后再统一，改造成本会显著上升。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7  反方观点与风险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以下四条是对本报告结论的主要反驳，以及相应的对策。列出它们是为了让结论可被检验，而不是为了修饰。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17"/>
        <w:gridCol w:w="3013"/>
        <w:gridCol w:w="3996"/>
      </w:tblGrid>
      <w:tr>
        <w:trPr>
          <w:tblHeader/>
        </w:trPr>
        <w:tc>
          <w:tcPr>
            <w:tcW w:type="dxa" w:w="201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反方观点</w:t>
            </w:r>
          </w:p>
        </w:tc>
        <w:tc>
          <w:tcPr>
            <w:tcW w:type="dxa" w:w="301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风险实质</w:t>
            </w:r>
          </w:p>
        </w:tc>
        <w:tc>
          <w:tcPr>
            <w:tcW w:type="dxa" w:w="399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对策</w:t>
            </w:r>
          </w:p>
        </w:tc>
      </w:tr>
      <w:tr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一体化厂商会吃掉中间层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某厂商同时提供执行、网关、观测与治理，使自建治理层失去意义</w:t>
            </w:r>
          </w:p>
        </w:tc>
        <w:tc>
          <w:tcPr>
            <w:tcW w:type="dxa" w:w="3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坚持标准协议接入，保持各层可替换，避免与单一厂商深度绑定；把治理层的差异化押在企业内部集成而非通用功能</w:t>
            </w:r>
          </w:p>
        </w:tc>
      </w:tr>
      <w:tr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治理过重会拖慢上线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管控成本过高导致业务绕过平台自行接入</w:t>
            </w:r>
          </w:p>
        </w:tc>
        <w:tc>
          <w:tcPr>
            <w:tcW w:type="dxa" w:w="3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治理与供给同步交付，首期提供固定能力包与简化配置换取速度，把高级策略管理后置</w:t>
            </w:r>
          </w:p>
        </w:tc>
      </w:tr>
      <w:tr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执行能力落后直接压低完成率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治理再完善，任务完成率低同样无法落地</w:t>
            </w:r>
          </w:p>
        </w:tc>
        <w:tc>
          <w:tcPr>
            <w:tcW w:type="dxa" w:w="3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执行层跟随而非自研，建立季度复评，用真实业务场景评测而非主观判断</w:t>
            </w:r>
          </w:p>
        </w:tc>
      </w:tr>
      <w:tr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生态判断具有时效性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本报告结论可能在一年内部分失效</w:t>
            </w:r>
          </w:p>
        </w:tc>
        <w:tc>
          <w:tcPr>
            <w:tcW w:type="dxa" w:w="39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将复评写成制度，明确触发条件与决策出口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8  企业选择的判断矩阵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判断一项投入应归入哪一侧，只需要一条准则：这项投入如果明年被某个开源项目免费提供，它是沉没还是仍然有效。仍然有效的自己做，会沉没的跟随。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948"/>
        <w:gridCol w:w="5078"/>
      </w:tblGrid>
      <w:tr>
        <w:trPr>
          <w:tblHeader/>
        </w:trPr>
        <w:tc>
          <w:tcPr>
            <w:tcW w:type="dxa" w:w="394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应当自建 Agent 能力平台的条件</w:t>
            </w:r>
          </w:p>
        </w:tc>
        <w:tc>
          <w:tcPr>
            <w:tcW w:type="dxa" w:w="507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核心业务即售卖 AI 产品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执行能力本身就是对外售卖的差异化点，投入可直接变现</w:t>
            </w:r>
          </w:p>
        </w:tc>
      </w:tr>
      <w:tr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存在通用方案无法覆盖的刚性约束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例如涉密离线环境、超长周期任务、强确定性要求</w:t>
            </w:r>
          </w:p>
        </w:tc>
      </w:tr>
      <w:tr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具备可长期投入的专职团队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需要稳定的专职人力持续追赶模型与开源迭代</w:t>
            </w:r>
          </w:p>
        </w:tc>
      </w:tr>
      <w:tr>
        <w:tc>
          <w:tcPr>
            <w:tcW w:type="dxa" w:w="39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能接受持续追赶的成本结构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认可该投入不产生可复用积累，仍愿意承担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四条同时满足才应考虑自建执行能力，且即便如此也应在成熟开源项目上做增量，而非从零实现执行循环。对以业务落地为目标的企业，四条通常不同时成立，结论是投向治理与供给。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9  对本平台的结论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首先澄清一个容易混淆的判断：采用平台控制循环，不等于选择 Agent 能力平台路线。决定治理强度的是管控点的位置，而不是循环的位置。当工具执行收敛到唯一入口并全部经能力网关提供之后，循环由平台跑还是由外部 Harness 跑，都不影响授权、幂等与审计的成立。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78"/>
        <w:gridCol w:w="5848"/>
      </w:tblGrid>
      <w:tr>
        <w:trPr>
          <w:tblHeader/>
        </w:trPr>
        <w:tc>
          <w:tcPr>
            <w:tcW w:type="dxa" w:w="317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首期采用平台控制循环的理由</w:t>
            </w:r>
          </w:p>
        </w:tc>
        <w:tc>
          <w:tcPr>
            <w:tcW w:type="dxa" w:w="584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管控确定性</w:t>
            </w:r>
          </w:p>
        </w:tc>
        <w:tc>
          <w:tcPr>
            <w:tcW w:type="dxa" w:w="58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首期即投产受控写操作，平台持有循环时每次工具调用必然穿过闸口，不依赖第三方钩子的可靠性</w:t>
            </w:r>
          </w:p>
        </w:tc>
      </w:tr>
      <w:tr>
        <w:tc>
          <w:tcPr>
            <w:tcW w:type="dxa" w:w="3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适配器成熟度未知</w:t>
            </w:r>
          </w:p>
        </w:tc>
        <w:tc>
          <w:tcPr>
            <w:tcW w:type="dxa" w:w="58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外部 Harness 的执行前拦截能否被绕过，必须通过探针实测确认，首期没有验证窗口</w:t>
            </w:r>
          </w:p>
        </w:tc>
      </w:tr>
      <w:tr>
        <w:tc>
          <w:tcPr>
            <w:tcW w:type="dxa" w:w="3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可重建不变量最易成立</w:t>
            </w:r>
          </w:p>
        </w:tc>
        <w:tc>
          <w:tcPr>
            <w:tcW w:type="dxa" w:w="58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上下文由平台组装时，模型可见内容能完整从事件日志重建，这是审批挂起与故障恢复正确性的基础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同时必须把它明确为过渡态，并写入约束，避免在实施过程中被理解为自研执行能力的许可。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2"/>
        <w:gridCol w:w="6134"/>
      </w:tblGrid>
      <w:tr>
        <w:trPr>
          <w:tblHeader/>
        </w:trPr>
        <w:tc>
          <w:tcPr>
            <w:tcW w:type="dxa" w:w="289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约束</w:t>
            </w:r>
          </w:p>
        </w:tc>
        <w:tc>
          <w:tcPr>
            <w:tcW w:type="dxa" w:w="613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落点</w:t>
            </w:r>
          </w:p>
        </w:tc>
      </w:tr>
      <w:tr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契约声明可治理性</w:t>
            </w:r>
          </w:p>
        </w:tc>
        <w:tc>
          <w:tcPr>
            <w:tcW w:type="dxa" w:w="61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适配器必须声明循环归属、执行前拦截强度与是否可由事件日志恢复，并据此分级</w:t>
            </w:r>
          </w:p>
        </w:tc>
      </w:tr>
      <w:tr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管控点固定在外部</w:t>
            </w:r>
          </w:p>
        </w:tc>
        <w:tc>
          <w:tcPr>
            <w:tcW w:type="dxa" w:w="61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管控点落在工具代理与能力网关，不落在循环内部，保证循环归属可切换</w:t>
            </w:r>
          </w:p>
        </w:tc>
      </w:tr>
      <w:tr>
        <w:tc>
          <w:tcPr>
            <w:tcW w:type="dxa" w:w="2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让渡条件明确</w:t>
            </w:r>
          </w:p>
        </w:tc>
        <w:tc>
          <w:tcPr>
            <w:tcW w:type="dxa" w:w="61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适配器通过拦截与恢复探针，且真实场景评测达标后，即可将循环让渡给该适配器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按此结论，平台自研的范围应严格限定在治理与供给：能力目录与复用、身份与授权、审计与回滚、发布与评测、业务系统集成。执行能力一律通过适配器集成，仅在适配器确实无法覆盖时临时补齐，且补齐后应主动寻找让渡时机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10  投入建议与复评机制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73"/>
        <w:gridCol w:w="1672"/>
        <w:gridCol w:w="4580"/>
      </w:tblGrid>
      <w:tr>
        <w:trPr>
          <w:tblHeader/>
        </w:trPr>
        <w:tc>
          <w:tcPr>
            <w:tcW w:type="dxa" w:w="277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方向</w:t>
            </w:r>
          </w:p>
        </w:tc>
        <w:tc>
          <w:tcPr>
            <w:tcW w:type="dxa" w:w="167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建议占比</w:t>
            </w:r>
          </w:p>
        </w:tc>
        <w:tc>
          <w:tcPr>
            <w:tcW w:type="dxa" w:w="458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能力供给与复用</w:t>
            </w:r>
          </w:p>
        </w:tc>
        <w:tc>
          <w:tcPr>
            <w:tcW w:type="dxa" w:w="16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三成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能力目录、工具接入平台、能力包商店，是业务愿意进入平台的理由</w:t>
            </w:r>
          </w:p>
        </w:tc>
      </w:tr>
      <w:t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身份授权审计与数据分级</w:t>
            </w:r>
          </w:p>
        </w:tc>
        <w:tc>
          <w:tcPr>
            <w:tcW w:type="dxa" w:w="16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三成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合规底线，外部无法替代，构成长期资产</w:t>
            </w:r>
          </w:p>
        </w:tc>
      </w:tr>
      <w:t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触点与自助</w:t>
            </w:r>
          </w:p>
        </w:tc>
        <w:tc>
          <w:tcPr>
            <w:tcW w:type="dxa" w:w="16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两成半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控制台、门户、嵌入式组件，决定业务是否真正使用</w:t>
            </w:r>
          </w:p>
        </w:tc>
      </w:tr>
      <w:t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执行层适配与评测</w:t>
            </w:r>
          </w:p>
        </w:tc>
        <w:tc>
          <w:tcPr>
            <w:tcW w:type="dxa" w:w="16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一成半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适配器、探针、回归评测，保持执行层可替换</w:t>
            </w:r>
          </w:p>
        </w:tc>
      </w:tr>
      <w:t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自研执行能力</w:t>
            </w:r>
          </w:p>
        </w:tc>
        <w:tc>
          <w:tcPr>
            <w:tcW w:type="dxa" w:w="16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零</w:t>
            </w:r>
          </w:p>
        </w:tc>
        <w:tc>
          <w:tcPr>
            <w:tcW w:type="dxa" w:w="4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仅在适配器确实覆盖不了时临时补，补完主动寻找让渡时机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1"/>
        <w:gridCol w:w="6695"/>
      </w:tblGrid>
      <w:tr>
        <w:trPr>
          <w:tblHeader/>
        </w:trPr>
        <w:tc>
          <w:tcPr>
            <w:tcW w:type="dxa" w:w="233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669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3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周期</w:t>
            </w:r>
          </w:p>
        </w:tc>
        <w:tc>
          <w:tcPr>
            <w:tcW w:type="dxa" w:w="66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每季度一次，与技术选型复评合并进行</w:t>
            </w:r>
          </w:p>
        </w:tc>
      </w:tr>
      <w:tr>
        <w:tc>
          <w:tcPr>
            <w:tcW w:type="dxa" w:w="23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输入</w:t>
            </w:r>
          </w:p>
        </w:tc>
        <w:tc>
          <w:tcPr>
            <w:tcW w:type="dxa" w:w="66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拦截与恢复探针结果、真实业务场景的评测对比、生态与协议变化</w:t>
            </w:r>
          </w:p>
        </w:tc>
      </w:tr>
      <w:tr>
        <w:tc>
          <w:tcPr>
            <w:tcW w:type="dxa" w:w="23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输出</w:t>
            </w:r>
          </w:p>
        </w:tc>
        <w:tc>
          <w:tcPr>
            <w:tcW w:type="dxa" w:w="66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是否让渡执行循环、是否更换适配器、是否引入新组件、是否调整投入分配</w:t>
            </w:r>
          </w:p>
        </w:tc>
      </w:tr>
      <w:tr>
        <w:tc>
          <w:tcPr>
            <w:tcW w:type="dxa" w:w="233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决策记录</w:t>
            </w:r>
          </w:p>
        </w:tc>
        <w:tc>
          <w:tcPr>
            <w:tcW w:type="dxa" w:w="669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结论写入架构决策记录，注明证据与责任角色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11  待核实项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以下四项的判断依赖外部生态现状，实施时必须按锁定版本重新核实，不得直接沿用本报告结论。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83"/>
        <w:gridCol w:w="5443"/>
      </w:tblGrid>
      <w:tr>
        <w:trPr>
          <w:tblHeader/>
        </w:trPr>
        <w:tc>
          <w:tcPr>
            <w:tcW w:type="dxa" w:w="358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544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核实方式</w:t>
            </w:r>
          </w:p>
        </w:tc>
      </w:tr>
      <w:tr>
        <w:tc>
          <w:tcPr>
            <w:tcW w:type="dxa" w:w="35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各适配器的执行前拦截可靠性</w:t>
            </w:r>
          </w:p>
        </w:tc>
        <w:tc>
          <w:tcPr>
            <w:tcW w:type="dxa" w:w="54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用平台探针实测，重点验证拒绝是否可被绕过</w:t>
            </w:r>
          </w:p>
        </w:tc>
      </w:tr>
      <w:tr>
        <w:tc>
          <w:tcPr>
            <w:tcW w:type="dxa" w:w="35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身份委托语义的成熟度</w:t>
            </w:r>
          </w:p>
        </w:tc>
        <w:tc>
          <w:tcPr>
            <w:tcW w:type="dxa" w:w="54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在锁定版本上产出真实令牌样例与负面测试</w:t>
            </w:r>
          </w:p>
        </w:tc>
      </w:tr>
      <w:tr>
        <w:tc>
          <w:tcPr>
            <w:tcW w:type="dxa" w:w="35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协议采纳度变化</w:t>
            </w:r>
          </w:p>
        </w:tc>
        <w:tc>
          <w:tcPr>
            <w:tcW w:type="dxa" w:w="54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复核工具接入、代理协作、能力打包、观测语义四类协议的实现情况</w:t>
            </w:r>
          </w:p>
        </w:tc>
      </w:tr>
      <w:tr>
        <w:tc>
          <w:tcPr>
            <w:tcW w:type="dxa" w:w="35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治理层是否出现一体化方案</w:t>
            </w:r>
          </w:p>
        </w:tc>
        <w:tc>
          <w:tcPr>
            <w:tcW w:type="dxa" w:w="54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若出现，重新评估自建范围与采购边界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08080"/>
        <w:sz w:val="16"/>
        <w:szCs w:val="16"/>
      </w:rPr>
      <w:t xml:space="preserve">第 </w:t>
    </w:r>
    <w:r>
      <w:rPr>
        <w:rFonts w:ascii="Calibri" w:cs="Calibri" w:eastAsia="Microsoft YaHe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Microsoft YaHei" w:hAnsi="Calibri"/>
        <w:color w:val="808080"/>
        <w:sz w:val="16"/>
        <w:szCs w:val="16"/>
      </w:rPr>
      <w:t xml:space="preserve">企业级 AI 能力平台 · 平台定位路线调研报告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Microsoft YaHe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Microsoft YaHe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YaHe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Microsoft YaHei" w:hAnsi="Calibri"/>
      <w:b/>
      <w:bCs/>
      <w:color w:val="40404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300"/>
    </w:pPr>
    <w:rPr>
      <w:rFonts w:ascii="Calibri" w:cs="Calibri" w:eastAsia="Microsoft YaHei" w:hAnsi="Calibri"/>
      <w:color w:val="1F1F1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AI 能力平台 · 平台定位路线调研报告</dc:title>
  <dc:creator>AI 平台建设项目组</dc:creator>
  <dc:description>回答平台应把主要精力放在治理与供给还是自建 Agent 执行能力，并给出执行循环归属的结论</dc:description>
  <cp:lastModifiedBy>Un-named</cp:lastModifiedBy>
  <cp:revision>1</cp:revision>
  <dcterms:created xsi:type="dcterms:W3CDTF">2026-09-12T15:00:53.594Z</dcterms:created>
  <dcterms:modified xsi:type="dcterms:W3CDTF">2026-09-12T15:00:53.594Z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