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Over stakeholder salience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Kapiriri, L., &amp; Razavi, S. D. (2021). Salient stakeholders: Using the salience stakeholder model to assess stakeholders' influence in healthcare priority setting. Health Policy OPEN, 2, 100048. </w:t>
      </w:r>
      <w:hyperlink r:id="rId6">
        <w:r w:rsidDel="00000000" w:rsidR="00000000" w:rsidRPr="00000000">
          <w:rPr>
            <w:color w:val="1155cc"/>
            <w:u w:val="single"/>
            <w:rtl w:val="0"/>
          </w:rPr>
          <w:t xml:space="preserve">https://pmc.ncbi.nlm.nih.gov/articles/PMC10297821/</w:t>
        </w:r>
      </w:hyperlink>
      <w:r w:rsidDel="00000000" w:rsidR="00000000" w:rsidRPr="00000000">
        <w:rPr>
          <w:rtl w:val="0"/>
        </w:rPr>
        <w:t xml:space="preserve"> </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Onderzoekers kijken naar de toepasbaarheid van het stakeholderraamwerk van Mitchell, Agle en Wood    (MAW)</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Through 57 key informant interviews and policy reviews, the authors categorize stakeholders into "latent," "expectant," and "definitive" groups. The study concludes that while politicians are often the most "salient" (definitive) stakeholders, the framework provides a superior tool for identifying "dangerous" or "dependent" stakeholders who might otherwise be overlooked in traditional power-interest grids. This source is highly relevant for researchers in health policy, public administration, and organizational management.</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Theoretisch uitgangspunt</w:t>
      </w:r>
    </w:p>
    <w:p w:rsidR="00000000" w:rsidDel="00000000" w:rsidP="00000000" w:rsidRDefault="00000000" w:rsidRPr="00000000" w14:paraId="0000000B">
      <w:pPr>
        <w:rPr/>
      </w:pPr>
      <w:r w:rsidDel="00000000" w:rsidR="00000000" w:rsidRPr="00000000">
        <w:rPr>
          <w:rtl w:val="0"/>
        </w:rPr>
        <w:t xml:space="preserve">Het model van MAW gaat uit van 3 klassen stakeholders. De indeling is gebaseerd op drie kenmerken (die ik nu ook gebruik):</w:t>
      </w:r>
    </w:p>
    <w:p w:rsidR="00000000" w:rsidDel="00000000" w:rsidP="00000000" w:rsidRDefault="00000000" w:rsidRPr="00000000" w14:paraId="0000000C">
      <w:pPr>
        <w:rPr/>
      </w:pPr>
      <w:r w:rsidDel="00000000" w:rsidR="00000000" w:rsidRPr="00000000">
        <w:rPr>
          <w:rtl w:val="0"/>
        </w:rPr>
        <w:t xml:space="preserve">1. Latent</w:t>
      </w:r>
    </w:p>
    <w:p w:rsidR="00000000" w:rsidDel="00000000" w:rsidP="00000000" w:rsidRDefault="00000000" w:rsidRPr="00000000" w14:paraId="0000000D">
      <w:pPr>
        <w:rPr/>
      </w:pPr>
      <w:r w:rsidDel="00000000" w:rsidR="00000000" w:rsidRPr="00000000">
        <w:rPr>
          <w:rtl w:val="0"/>
        </w:rPr>
        <w:tab/>
        <w:t xml:space="preserve">- </w:t>
      </w:r>
    </w:p>
    <w:p w:rsidR="00000000" w:rsidDel="00000000" w:rsidP="00000000" w:rsidRDefault="00000000" w:rsidRPr="00000000" w14:paraId="0000000E">
      <w:pPr>
        <w:rPr/>
      </w:pPr>
      <w:r w:rsidDel="00000000" w:rsidR="00000000" w:rsidRPr="00000000">
        <w:rPr>
          <w:rtl w:val="0"/>
        </w:rPr>
        <w:t xml:space="preserve">2. Expectant</w:t>
      </w:r>
    </w:p>
    <w:p w:rsidR="00000000" w:rsidDel="00000000" w:rsidP="00000000" w:rsidRDefault="00000000" w:rsidRPr="00000000" w14:paraId="0000000F">
      <w:pPr>
        <w:rPr/>
      </w:pPr>
      <w:r w:rsidDel="00000000" w:rsidR="00000000" w:rsidRPr="00000000">
        <w:rPr>
          <w:rtl w:val="0"/>
        </w:rPr>
        <w:t xml:space="preserve">3. Definitive </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605"/>
        <w:gridCol w:w="1755"/>
        <w:gridCol w:w="3705"/>
        <w:tblGridChange w:id="0">
          <w:tblGrid>
            <w:gridCol w:w="1725"/>
            <w:gridCol w:w="1605"/>
            <w:gridCol w:w="1755"/>
            <w:gridCol w:w="3705"/>
          </w:tblGrid>
        </w:tblGridChange>
      </w:tblGrid>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12">
            <w:pPr>
              <w:spacing w:after="480" w:lineRule="auto"/>
              <w:rPr>
                <w:color w:val="1f1f1f"/>
              </w:rPr>
            </w:pPr>
            <w:r w:rsidDel="00000000" w:rsidR="00000000" w:rsidRPr="00000000">
              <w:rPr>
                <w:b w:val="1"/>
                <w:bCs w:val="1"/>
                <w:color w:val="1f1f1f"/>
                <w:rtl w:val="0"/>
              </w:rPr>
              <w:t xml:space="preserve">Stakeholder Class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13">
            <w:pPr>
              <w:spacing w:after="480" w:lineRule="auto"/>
              <w:rPr>
                <w:color w:val="1f1f1f"/>
              </w:rPr>
            </w:pPr>
            <w:r w:rsidDel="00000000" w:rsidR="00000000" w:rsidRPr="00000000">
              <w:rPr>
                <w:b w:val="1"/>
                <w:bCs w:val="1"/>
                <w:color w:val="1f1f1f"/>
                <w:rtl w:val="0"/>
              </w:rPr>
              <w:t xml:space="preserve">Typology</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14">
            <w:pPr>
              <w:spacing w:after="480" w:lineRule="auto"/>
              <w:rPr>
                <w:color w:val="1f1f1f"/>
              </w:rPr>
            </w:pPr>
            <w:r w:rsidDel="00000000" w:rsidR="00000000" w:rsidRPr="00000000">
              <w:rPr>
                <w:b w:val="1"/>
                <w:bCs w:val="1"/>
                <w:color w:val="1f1f1f"/>
                <w:rtl w:val="0"/>
              </w:rPr>
              <w:t xml:space="preserve">Attributes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015">
            <w:pPr>
              <w:spacing w:after="480" w:lineRule="auto"/>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rHeight w:val="1335" w:hRule="atLeast"/>
          <w:tblHeader w:val="0"/>
        </w:trPr>
        <w:tc>
          <w:tcPr>
            <w:vMerge w:val="restart"/>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16">
            <w:pPr>
              <w:spacing w:after="480" w:lineRule="auto"/>
              <w:rPr>
                <w:color w:val="1f1f1f"/>
              </w:rPr>
            </w:pPr>
            <w:r w:rsidDel="00000000" w:rsidR="00000000" w:rsidRPr="00000000">
              <w:rPr>
                <w:b w:val="1"/>
                <w:bCs w:val="1"/>
                <w:color w:val="1f1f1f"/>
                <w:rtl w:val="0"/>
              </w:rPr>
              <w:t xml:space="preserve">Latent</w:t>
            </w:r>
            <w:r w:rsidDel="00000000" w:rsidR="00000000" w:rsidRPr="00000000">
              <w:rPr>
                <w:rtl w:val="0"/>
              </w:rPr>
            </w:r>
          </w:p>
          <w:p w:rsidR="00000000" w:rsidDel="00000000" w:rsidP="00000000" w:rsidRDefault="00000000" w:rsidRPr="00000000" w14:paraId="00000017">
            <w:pPr>
              <w:spacing w:after="480" w:lineRule="auto"/>
              <w:rPr>
                <w:color w:val="1f1f1f"/>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18">
            <w:pPr>
              <w:spacing w:after="480" w:lineRule="auto"/>
              <w:rPr>
                <w:color w:val="1f1f1f"/>
              </w:rPr>
            </w:pPr>
            <w:r w:rsidDel="00000000" w:rsidR="00000000" w:rsidRPr="00000000">
              <w:rPr>
                <w:color w:val="1f1f1f"/>
                <w:rtl w:val="0"/>
              </w:rPr>
              <w:t xml:space="preserve">Dormant</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19">
            <w:pPr>
              <w:spacing w:after="480" w:lineRule="auto"/>
              <w:rPr>
                <w:color w:val="1f1f1f"/>
              </w:rPr>
            </w:pPr>
            <w:r w:rsidDel="00000000" w:rsidR="00000000" w:rsidRPr="00000000">
              <w:rPr>
                <w:color w:val="1f1f1f"/>
                <w:rtl w:val="0"/>
              </w:rPr>
              <w:t xml:space="preserve">Power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1A">
            <w:pPr>
              <w:spacing w:after="480" w:lineRule="auto"/>
              <w:rPr>
                <w:color w:val="1f1f1f"/>
              </w:rPr>
            </w:pPr>
            <w:r w:rsidDel="00000000" w:rsidR="00000000" w:rsidRPr="00000000">
              <w:rPr>
                <w:color w:val="1f1f1f"/>
                <w:rtl w:val="0"/>
              </w:rPr>
              <w:t xml:space="preserve">Have the power to impose their will but lack legitimacy or urgency. They should be monitored.</w:t>
            </w:r>
          </w:p>
        </w:tc>
      </w:tr>
      <w:tr>
        <w:trPr>
          <w:cantSplit w:val="0"/>
          <w:trHeight w:val="1335" w:hRule="atLeast"/>
          <w:tblHeader w:val="0"/>
        </w:trPr>
        <w:tc>
          <w:tcPr>
            <w:vMerge w:val="continue"/>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1B">
            <w:pPr>
              <w:spacing w:after="0" w:before="0" w:line="240" w:lineRule="auto"/>
              <w:ind w:left="0" w:firstLine="0"/>
              <w:rPr>
                <w:color w:val="1f1f1f"/>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1C">
            <w:pPr>
              <w:spacing w:after="480" w:lineRule="auto"/>
              <w:rPr>
                <w:color w:val="1f1f1f"/>
              </w:rPr>
            </w:pPr>
            <w:r w:rsidDel="00000000" w:rsidR="00000000" w:rsidRPr="00000000">
              <w:rPr>
                <w:color w:val="1f1f1f"/>
                <w:rtl w:val="0"/>
              </w:rPr>
              <w:t xml:space="preserve">Discretionary</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1D">
            <w:pPr>
              <w:spacing w:after="480" w:lineRule="auto"/>
              <w:rPr>
                <w:color w:val="1f1f1f"/>
              </w:rPr>
            </w:pPr>
            <w:r w:rsidDel="00000000" w:rsidR="00000000" w:rsidRPr="00000000">
              <w:rPr>
                <w:color w:val="1f1f1f"/>
                <w:rtl w:val="0"/>
              </w:rPr>
              <w:t xml:space="preserve">Legitimacy</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1E">
            <w:pPr>
              <w:spacing w:after="480" w:lineRule="auto"/>
              <w:rPr>
                <w:color w:val="1f1f1f"/>
              </w:rPr>
            </w:pPr>
            <w:r w:rsidDel="00000000" w:rsidR="00000000" w:rsidRPr="00000000">
              <w:rPr>
                <w:color w:val="1f1f1f"/>
                <w:rtl w:val="0"/>
              </w:rPr>
              <w:t xml:space="preserve">Have legitimate claims but no power or urgency. Often recipients of corporate philanthropy.</w:t>
            </w:r>
          </w:p>
        </w:tc>
      </w:tr>
      <w:tr>
        <w:trPr>
          <w:cantSplit w:val="0"/>
          <w:trHeight w:val="1605" w:hRule="atLeast"/>
          <w:tblHeader w:val="0"/>
        </w:trPr>
        <w:tc>
          <w:tcPr>
            <w:vMerge w:val="continue"/>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1F">
            <w:pPr>
              <w:spacing w:after="0" w:before="0" w:line="240" w:lineRule="auto"/>
              <w:ind w:left="0" w:firstLine="0"/>
              <w:rPr>
                <w:color w:val="1f1f1f"/>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20">
            <w:pPr>
              <w:spacing w:after="480" w:lineRule="auto"/>
              <w:rPr>
                <w:color w:val="1f1f1f"/>
              </w:rPr>
            </w:pPr>
            <w:r w:rsidDel="00000000" w:rsidR="00000000" w:rsidRPr="00000000">
              <w:rPr>
                <w:color w:val="1f1f1f"/>
                <w:rtl w:val="0"/>
              </w:rPr>
              <w:t xml:space="preserve">Demanding</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21">
            <w:pPr>
              <w:spacing w:after="480" w:lineRule="auto"/>
              <w:rPr>
                <w:color w:val="1f1f1f"/>
              </w:rPr>
            </w:pPr>
            <w:r w:rsidDel="00000000" w:rsidR="00000000" w:rsidRPr="00000000">
              <w:rPr>
                <w:color w:val="1f1f1f"/>
                <w:rtl w:val="0"/>
              </w:rPr>
              <w:t xml:space="preserve">Urgency</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22">
            <w:pPr>
              <w:spacing w:after="480" w:lineRule="auto"/>
              <w:rPr>
                <w:color w:val="1f1f1f"/>
              </w:rPr>
            </w:pPr>
            <w:r w:rsidDel="00000000" w:rsidR="00000000" w:rsidRPr="00000000">
              <w:rPr>
                <w:color w:val="1f1f1f"/>
                <w:rtl w:val="0"/>
              </w:rPr>
              <w:t xml:space="preserve">Have urgent claims but no power or legitimacy. Often "noise-makers" but can be ignored if needed.</w:t>
            </w:r>
          </w:p>
        </w:tc>
      </w:tr>
      <w:tr>
        <w:trPr>
          <w:cantSplit w:val="0"/>
          <w:trHeight w:val="1605" w:hRule="atLeast"/>
          <w:tblHeader w:val="0"/>
        </w:trPr>
        <w:tc>
          <w:tcPr>
            <w:vMerge w:val="restart"/>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23">
            <w:pPr>
              <w:spacing w:after="480" w:lineRule="auto"/>
              <w:rPr>
                <w:color w:val="1f1f1f"/>
              </w:rPr>
            </w:pPr>
            <w:r w:rsidDel="00000000" w:rsidR="00000000" w:rsidRPr="00000000">
              <w:rPr>
                <w:b w:val="1"/>
                <w:bCs w:val="1"/>
                <w:color w:val="1f1f1f"/>
                <w:rtl w:val="0"/>
              </w:rPr>
              <w:t xml:space="preserve">Expectant</w:t>
            </w:r>
            <w:r w:rsidDel="00000000" w:rsidR="00000000" w:rsidRPr="00000000">
              <w:rPr>
                <w:rtl w:val="0"/>
              </w:rPr>
            </w:r>
          </w:p>
          <w:p w:rsidR="00000000" w:rsidDel="00000000" w:rsidP="00000000" w:rsidRDefault="00000000" w:rsidRPr="00000000" w14:paraId="00000024">
            <w:pPr>
              <w:spacing w:after="480" w:lineRule="auto"/>
              <w:rPr>
                <w:color w:val="1f1f1f"/>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25">
            <w:pPr>
              <w:spacing w:after="480" w:lineRule="auto"/>
              <w:rPr>
                <w:color w:val="1f1f1f"/>
              </w:rPr>
            </w:pPr>
            <w:r w:rsidDel="00000000" w:rsidR="00000000" w:rsidRPr="00000000">
              <w:rPr>
                <w:color w:val="1f1f1f"/>
                <w:rtl w:val="0"/>
              </w:rPr>
              <w:t xml:space="preserve">Dominant</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26">
            <w:pPr>
              <w:spacing w:after="480" w:lineRule="auto"/>
              <w:rPr>
                <w:color w:val="1f1f1f"/>
              </w:rPr>
            </w:pPr>
            <w:r w:rsidDel="00000000" w:rsidR="00000000" w:rsidRPr="00000000">
              <w:rPr>
                <w:color w:val="1f1f1f"/>
                <w:rtl w:val="0"/>
              </w:rPr>
              <w:t xml:space="preserve">Power &amp; Legitimacy</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27">
            <w:pPr>
              <w:spacing w:after="480" w:lineRule="auto"/>
              <w:rPr>
                <w:color w:val="1f1f1f"/>
              </w:rPr>
            </w:pPr>
            <w:r w:rsidDel="00000000" w:rsidR="00000000" w:rsidRPr="00000000">
              <w:rPr>
                <w:color w:val="1f1f1f"/>
                <w:rtl w:val="0"/>
              </w:rPr>
              <w:t xml:space="preserve">Powerful and legitimate; their influence is assured. They often form the dominant coalition in an organization.</w:t>
            </w:r>
          </w:p>
        </w:tc>
      </w:tr>
      <w:tr>
        <w:trPr>
          <w:cantSplit w:val="0"/>
          <w:trHeight w:val="1605" w:hRule="atLeast"/>
          <w:tblHeader w:val="0"/>
        </w:trPr>
        <w:tc>
          <w:tcPr>
            <w:vMerge w:val="continue"/>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28">
            <w:pPr>
              <w:spacing w:after="0" w:before="0" w:line="240" w:lineRule="auto"/>
              <w:ind w:left="0" w:firstLine="0"/>
              <w:rPr>
                <w:color w:val="1f1f1f"/>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29">
            <w:pPr>
              <w:spacing w:after="480" w:lineRule="auto"/>
              <w:rPr>
                <w:color w:val="1f1f1f"/>
              </w:rPr>
            </w:pPr>
            <w:r w:rsidDel="00000000" w:rsidR="00000000" w:rsidRPr="00000000">
              <w:rPr>
                <w:color w:val="1f1f1f"/>
                <w:rtl w:val="0"/>
              </w:rPr>
              <w:t xml:space="preserve">Dangerous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2A">
            <w:pPr>
              <w:spacing w:after="480" w:lineRule="auto"/>
              <w:rPr>
                <w:color w:val="1f1f1f"/>
              </w:rPr>
            </w:pPr>
            <w:r w:rsidDel="00000000" w:rsidR="00000000" w:rsidRPr="00000000">
              <w:rPr>
                <w:color w:val="1f1f1f"/>
                <w:rtl w:val="0"/>
              </w:rPr>
              <w:t xml:space="preserve">Power &amp; Urgency</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2B">
            <w:pPr>
              <w:spacing w:after="480" w:lineRule="auto"/>
              <w:rPr>
                <w:color w:val="1f1f1f"/>
              </w:rPr>
            </w:pPr>
            <w:r w:rsidDel="00000000" w:rsidR="00000000" w:rsidRPr="00000000">
              <w:rPr>
                <w:color w:val="1f1f1f"/>
                <w:rtl w:val="0"/>
              </w:rPr>
              <w:t xml:space="preserve">Have power and urgency but lack legitimacy. May use coercive tactics or violence to achieve goals.</w:t>
            </w:r>
          </w:p>
        </w:tc>
      </w:tr>
      <w:tr>
        <w:trPr>
          <w:cantSplit w:val="0"/>
          <w:trHeight w:val="1605" w:hRule="atLeast"/>
          <w:tblHeader w:val="0"/>
        </w:trPr>
        <w:tc>
          <w:tcPr>
            <w:vMerge w:val="continue"/>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2C">
            <w:pPr>
              <w:spacing w:after="0" w:before="0" w:line="240" w:lineRule="auto"/>
              <w:ind w:left="0" w:firstLine="0"/>
              <w:rPr>
                <w:color w:val="1f1f1f"/>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2D">
            <w:pPr>
              <w:spacing w:after="480" w:lineRule="auto"/>
              <w:rPr>
                <w:color w:val="1f1f1f"/>
              </w:rPr>
            </w:pPr>
            <w:r w:rsidDel="00000000" w:rsidR="00000000" w:rsidRPr="00000000">
              <w:rPr>
                <w:color w:val="1f1f1f"/>
                <w:rtl w:val="0"/>
              </w:rPr>
              <w:t xml:space="preserve">Dependent</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2E">
            <w:pPr>
              <w:spacing w:after="480" w:lineRule="auto"/>
              <w:rPr>
                <w:color w:val="1f1f1f"/>
              </w:rPr>
            </w:pPr>
            <w:r w:rsidDel="00000000" w:rsidR="00000000" w:rsidRPr="00000000">
              <w:rPr>
                <w:color w:val="1f1f1f"/>
                <w:rtl w:val="0"/>
              </w:rPr>
              <w:t xml:space="preserve">Legitimacy &amp; Urgency</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2F">
            <w:pPr>
              <w:spacing w:after="480" w:lineRule="auto"/>
              <w:rPr>
                <w:color w:val="1f1f1f"/>
              </w:rPr>
            </w:pPr>
            <w:r w:rsidDel="00000000" w:rsidR="00000000" w:rsidRPr="00000000">
              <w:rPr>
                <w:color w:val="1f1f1f"/>
                <w:rtl w:val="0"/>
              </w:rPr>
              <w:t xml:space="preserve">Have legitimate and urgent claims but lack power. They depend on others (like dominant stakeholders) to help them.</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30">
            <w:pPr>
              <w:spacing w:after="480" w:lineRule="auto"/>
              <w:rPr>
                <w:color w:val="1f1f1f"/>
              </w:rPr>
            </w:pPr>
            <w:r w:rsidDel="00000000" w:rsidR="00000000" w:rsidRPr="00000000">
              <w:rPr>
                <w:b w:val="1"/>
                <w:bCs w:val="1"/>
                <w:color w:val="1f1f1f"/>
                <w:rtl w:val="0"/>
              </w:rPr>
              <w:t xml:space="preserve">Definitive</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31">
            <w:pPr>
              <w:spacing w:after="480" w:lineRule="auto"/>
              <w:rPr>
                <w:color w:val="1f1f1f"/>
              </w:rPr>
            </w:pPr>
            <w:r w:rsidDel="00000000" w:rsidR="00000000" w:rsidRPr="00000000">
              <w:rPr>
                <w:color w:val="1f1f1f"/>
                <w:rtl w:val="0"/>
              </w:rPr>
              <w:t xml:space="preserve">Definitive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32">
            <w:pPr>
              <w:spacing w:after="480" w:lineRule="auto"/>
              <w:rPr>
                <w:color w:val="1f1f1f"/>
              </w:rPr>
            </w:pPr>
            <w:r w:rsidDel="00000000" w:rsidR="00000000" w:rsidRPr="00000000">
              <w:rPr>
                <w:color w:val="1f1f1f"/>
                <w:rtl w:val="0"/>
              </w:rPr>
              <w:t xml:space="preserve">Power, Legitimacy &amp; Urgency</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33">
            <w:pPr>
              <w:spacing w:after="480" w:lineRule="auto"/>
              <w:rPr>
                <w:color w:val="1f1f1f"/>
              </w:rPr>
            </w:pPr>
            <w:r w:rsidDel="00000000" w:rsidR="00000000" w:rsidRPr="00000000">
              <w:rPr>
                <w:color w:val="1f1f1f"/>
                <w:rtl w:val="0"/>
              </w:rPr>
              <w:t xml:space="preserve">Possess all three attributes. These stakeholders are the top priority for management.</w:t>
            </w:r>
          </w:p>
        </w:tc>
      </w:tr>
    </w:tbl>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Methode</w:t>
      </w:r>
    </w:p>
    <w:p w:rsidR="00000000" w:rsidDel="00000000" w:rsidP="00000000" w:rsidRDefault="00000000" w:rsidRPr="00000000" w14:paraId="00000038">
      <w:pPr>
        <w:rPr/>
      </w:pPr>
      <w:r w:rsidDel="00000000" w:rsidR="00000000" w:rsidRPr="00000000">
        <w:rPr>
          <w:rtl w:val="0"/>
        </w:rPr>
        <w:t xml:space="preserve">Er zijn 57 interviews gehouden waar interviewers vragen stelden:</w:t>
      </w:r>
    </w:p>
    <w:p w:rsidR="00000000" w:rsidDel="00000000" w:rsidP="00000000" w:rsidRDefault="00000000" w:rsidRPr="00000000" w14:paraId="00000039">
      <w:pPr>
        <w:rPr/>
      </w:pPr>
      <w:r w:rsidDel="00000000" w:rsidR="00000000" w:rsidRPr="00000000">
        <w:rPr>
          <w:rtl w:val="0"/>
        </w:rPr>
        <w:t xml:space="preserve">1. Welke stakeholders zijn betrokken in het vaststellen van prioriteiten?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2. Welke rollen hebben de stakeholders?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3. Welke invloed hebben stakeholders op het zetten van prioriteiten?</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Buhmann, K., Fonseca, A., Andrews, N., &amp; Amatulli, G. (Eds.). (2024). The Routledge handbook on meaningful stakeholder engagement. Routledge. </w:t>
      </w:r>
      <w:hyperlink r:id="rId7">
        <w:r w:rsidDel="00000000" w:rsidR="00000000" w:rsidRPr="00000000">
          <w:rPr>
            <w:color w:val="1155cc"/>
            <w:u w:val="single"/>
            <w:rtl w:val="0"/>
          </w:rPr>
          <w:t xml:space="preserve">https://library.oapen.org/handle/20.500.12657/103166</w:t>
        </w:r>
      </w:hyperlink>
      <w:r w:rsidDel="00000000" w:rsidR="00000000" w:rsidRPr="00000000">
        <w:rPr>
          <w:rtl w:val="0"/>
        </w:rPr>
        <w:t xml:space="preserve"> </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dasd</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b w:val="1"/>
          <w:bCs w:val="1"/>
        </w:rPr>
      </w:pPr>
      <w:r w:rsidDel="00000000" w:rsidR="00000000" w:rsidRPr="00000000">
        <w:rPr>
          <w:rtl w:val="0"/>
        </w:rPr>
      </w:r>
    </w:p>
    <w:p w:rsidR="00000000" w:rsidDel="00000000" w:rsidP="00000000" w:rsidRDefault="00000000" w:rsidRPr="00000000" w14:paraId="0000004D">
      <w:pPr>
        <w:rPr>
          <w:b w:val="1"/>
          <w:bCs w:val="1"/>
        </w:rPr>
      </w:pPr>
      <w:r w:rsidDel="00000000" w:rsidR="00000000" w:rsidRPr="00000000">
        <w:rPr>
          <w:b w:val="1"/>
          <w:bCs w:val="1"/>
          <w:rtl w:val="0"/>
        </w:rPr>
        <w:t xml:space="preserve">Plotten: 3 dimensies in 2d?</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Hoe kun je drie dimensies plotten op een 2d ruimte.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Optie voor weighted index plot(?)</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Dynamic grid</w:t>
      </w:r>
    </w:p>
    <w:p w:rsidR="00000000" w:rsidDel="00000000" w:rsidP="00000000" w:rsidRDefault="00000000" w:rsidRPr="00000000" w14:paraId="00000054">
      <w:pPr>
        <w:rPr/>
      </w:pPr>
      <w:r w:rsidDel="00000000" w:rsidR="00000000" w:rsidRPr="00000000">
        <w:rPr>
          <w:rtl w:val="0"/>
        </w:rPr>
        <w:t xml:space="preserve">Maak de y-as een ‘tijdelijke’ variable met urgentie. </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x-as: hierop projecteer je het gemiddelde van de ‘power’ en ‘legitimacy’. </w:t>
      </w:r>
    </w:p>
    <w:p w:rsidR="00000000" w:rsidDel="00000000" w:rsidP="00000000" w:rsidRDefault="00000000" w:rsidRPr="00000000" w14:paraId="00000057">
      <w:pPr>
        <w:rPr/>
      </w:pPr>
      <w:r w:rsidDel="00000000" w:rsidR="00000000" w:rsidRPr="00000000">
        <w:rPr>
          <w:rtl w:val="0"/>
        </w:rPr>
        <w:t xml:space="preserve">y-as: urgentie zoals deze nu is. Is deze groep nu actief in de media? Hebben zij nu een probleem die ze moeten oplossen?</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venn-diagram</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pmc.ncbi.nlm.nih.gov/articles/PMC10297821/" TargetMode="External"/><Relationship Id="rId7" Type="http://schemas.openxmlformats.org/officeDocument/2006/relationships/hyperlink" Target="https://library.oapen.org/handle/20.500.12657/1031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