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AB2F7">
      <w:pPr>
        <w:pStyle w:val="2"/>
        <w:bidi w:val="0"/>
        <w:jc w:val="center"/>
        <w:rPr>
          <w:lang w:val="en-US" w:eastAsia="zh-CN"/>
        </w:rPr>
      </w:pPr>
      <w:r>
        <w:rPr>
          <w:lang w:val="en-US" w:eastAsia="zh-CN"/>
        </w:rPr>
        <w:t>设计评审 AI 专项审查规范</w:t>
      </w:r>
    </w:p>
    <w:p w14:paraId="4EBCC85D">
      <w:pPr>
        <w:ind w:left="0" w:leftChars="0" w:firstLine="0" w:firstLineChars="0"/>
      </w:pPr>
      <w:r>
        <w:rPr>
          <w:rFonts w:hint="default" w:ascii="宋体" w:hAnsi="宋体" w:eastAsia="宋体" w:cs="宋体"/>
          <w:sz w:val="24"/>
          <w:szCs w:val="24"/>
        </w:rPr>
        <w:t>规范编号：[公司缩写]-AI-REVIEW-SPEC-[版本号]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发布日期：[YYYY-MM-DD]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生效日期：[YYYY-MM-DD]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制定部门：[技术部/架构部]</w:t>
      </w:r>
    </w:p>
    <w:p w14:paraId="0B85CFE4">
      <w:pPr>
        <w:keepNext w:val="0"/>
        <w:keepLines w:val="0"/>
        <w:widowControl/>
        <w:suppressLineNumbers w:val="0"/>
        <w:spacing w:line="250" w:lineRule="atLeast"/>
        <w:ind w:left="0" w:lef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B2C691A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1.目的</w:t>
      </w:r>
    </w:p>
    <w:p w14:paraId="425BCE9E">
      <w:pPr>
        <w:keepNext w:val="0"/>
        <w:keepLines w:val="0"/>
        <w:widowControl/>
        <w:suppressLineNumbers w:val="0"/>
        <w:spacing w:line="250" w:lineRule="atLeast"/>
        <w:ind w:left="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为规范 AI 辅助软件设计成果的评审流程，识别 AI 生成内容的安全漏洞、逻辑缺陷及技术债务，确保设计成果符合业务需求与技术标准，特制定本规范。</w:t>
      </w:r>
    </w:p>
    <w:p w14:paraId="0763DC8A">
      <w:pPr>
        <w:keepNext w:val="0"/>
        <w:keepLines w:val="0"/>
        <w:widowControl/>
        <w:suppressLineNumbers w:val="0"/>
        <w:spacing w:line="250" w:lineRule="atLeast"/>
        <w:ind w:left="0" w:lef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438BB0E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2.适用范围</w:t>
      </w:r>
    </w:p>
    <w:p w14:paraId="0C92E647">
      <w:pPr>
        <w:keepNext w:val="0"/>
        <w:keepLines w:val="0"/>
        <w:widowControl/>
        <w:suppressLineNumbers w:val="0"/>
        <w:spacing w:line="250" w:lineRule="atLeast"/>
        <w:ind w:left="0" w:leftChars="0" w:firstLine="240" w:firstLineChars="1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本规范适用于公司所有软件项目中，AI 辅助生成的架构设计方案、模块详细设计文档、代码片段、UML 图等成果的评审工作。</w:t>
      </w:r>
    </w:p>
    <w:p w14:paraId="126215AC">
      <w:pPr>
        <w:keepNext w:val="0"/>
        <w:keepLines w:val="0"/>
        <w:widowControl/>
        <w:suppressLineNumbers w:val="0"/>
        <w:spacing w:line="250" w:lineRule="atLeast"/>
        <w:ind w:left="0" w:lef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BF054B9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审查组织与职责</w:t>
      </w:r>
    </w:p>
    <w:tbl>
      <w:tblPr>
        <w:tblW w:w="83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6520"/>
      </w:tblGrid>
      <w:tr w14:paraId="468EA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89" w:type="dxa"/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C1175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6520" w:type="dxa"/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C157D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</w:tr>
      <w:tr w14:paraId="6B91D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BD48C5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评审组长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B416C1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组织评审会议、把控评审进度、汇总评审意见</w:t>
            </w:r>
          </w:p>
        </w:tc>
      </w:tr>
      <w:tr w14:paraId="52122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0D93C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技术负责人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FCFFBF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评估 AI 建议的技术可行性、技术债务风险</w:t>
            </w:r>
          </w:p>
        </w:tc>
      </w:tr>
      <w:tr w14:paraId="2BACA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183DEB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架构师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CE15C1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审查设计方案的合理性、兼容性、扩展性</w:t>
            </w:r>
          </w:p>
        </w:tc>
      </w:tr>
      <w:tr w14:paraId="2B040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3AEAE1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开发代表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E38FA1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审查代码 / 设计的可落地性、逻辑正确性</w:t>
            </w:r>
          </w:p>
        </w:tc>
      </w:tr>
      <w:tr w14:paraId="66DB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85591F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安全专员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BC83E8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审查设计 / 代码中的安全漏洞、权限管控缺陷</w:t>
            </w:r>
          </w:p>
        </w:tc>
      </w:tr>
    </w:tbl>
    <w:p w14:paraId="22B7A43D">
      <w:pPr>
        <w:ind w:left="0" w:leftChars="0" w:firstLine="0" w:firstLineChars="0"/>
        <w:rPr>
          <w:rFonts w:hint="eastAsia"/>
          <w:lang w:val="en-US" w:eastAsia="zh-CN"/>
        </w:rPr>
      </w:pPr>
    </w:p>
    <w:p w14:paraId="2A0A10D6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审查核心内容</w:t>
      </w:r>
    </w:p>
    <w:p w14:paraId="011D564B">
      <w:pPr>
        <w:pStyle w:val="5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安全漏洞审查</w:t>
      </w:r>
    </w:p>
    <w:tbl>
      <w:tblPr>
        <w:tblW w:w="83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3351"/>
        <w:gridCol w:w="3769"/>
      </w:tblGrid>
      <w:tr w14:paraId="7EE2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9" w:type="dxa"/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147763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审查维度</w:t>
            </w:r>
          </w:p>
        </w:tc>
        <w:tc>
          <w:tcPr>
            <w:tcW w:w="3351" w:type="dxa"/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9B773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审查要点</w:t>
            </w:r>
          </w:p>
        </w:tc>
        <w:tc>
          <w:tcPr>
            <w:tcW w:w="3769" w:type="dxa"/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879ED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判定标准</w:t>
            </w:r>
          </w:p>
        </w:tc>
      </w:tr>
      <w:tr w14:paraId="16D6A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2A35F8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输入验证</w:t>
            </w:r>
          </w:p>
        </w:tc>
        <w:tc>
          <w:tcPr>
            <w:tcW w:w="335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00705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AI 生成代码是否包含输入参数校验逻辑</w:t>
            </w:r>
          </w:p>
        </w:tc>
        <w:tc>
          <w:tcPr>
            <w:tcW w:w="376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4777C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所有外部输入必须经过合法性校验</w:t>
            </w:r>
          </w:p>
        </w:tc>
      </w:tr>
      <w:tr w14:paraId="3BCE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81DF65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权限管控</w:t>
            </w:r>
          </w:p>
        </w:tc>
        <w:tc>
          <w:tcPr>
            <w:tcW w:w="335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6AC7D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是否存在越权访问风险、权限边界是否清晰</w:t>
            </w:r>
          </w:p>
        </w:tc>
        <w:tc>
          <w:tcPr>
            <w:tcW w:w="376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4DED5B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严格遵循最小权限原则，无权限漏洞</w:t>
            </w:r>
          </w:p>
        </w:tc>
      </w:tr>
      <w:tr w14:paraId="411D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64969B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数据加密</w:t>
            </w:r>
          </w:p>
        </w:tc>
        <w:tc>
          <w:tcPr>
            <w:tcW w:w="335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BF6F0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敏感数据传输 / 存储是否加密</w:t>
            </w:r>
          </w:p>
        </w:tc>
        <w:tc>
          <w:tcPr>
            <w:tcW w:w="376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A36A8B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密码、个人信息等需通过加密处理</w:t>
            </w:r>
          </w:p>
        </w:tc>
      </w:tr>
    </w:tbl>
    <w:p w14:paraId="43FF4685">
      <w:pPr>
        <w:rPr>
          <w:rFonts w:hint="eastAsia"/>
          <w:lang w:val="en-US" w:eastAsia="zh-CN"/>
        </w:rPr>
      </w:pPr>
    </w:p>
    <w:p w14:paraId="1087EE84">
      <w:pPr>
        <w:pStyle w:val="5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逻辑缺陷审查</w:t>
      </w:r>
    </w:p>
    <w:tbl>
      <w:tblPr>
        <w:tblW w:w="83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2946"/>
        <w:gridCol w:w="4094"/>
      </w:tblGrid>
      <w:tr w14:paraId="3966D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1DC1FD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审查维度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342AC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审查要点</w:t>
            </w:r>
          </w:p>
        </w:tc>
        <w:tc>
          <w:tcPr>
            <w:tcW w:w="4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BCDD0D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判定标准</w:t>
            </w:r>
          </w:p>
        </w:tc>
      </w:tr>
      <w:tr w14:paraId="1F7D0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869E5B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业务符合性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5F761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设计/代码是否匹配业务需求</w:t>
            </w:r>
          </w:p>
        </w:tc>
        <w:tc>
          <w:tcPr>
            <w:tcW w:w="4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026A80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无业务逻辑遗漏、无需求理解偏差</w:t>
            </w:r>
          </w:p>
        </w:tc>
      </w:tr>
      <w:tr w14:paraId="1D03D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EEC8AB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边界条件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A88A9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是否覆盖异常场景、边界值处理</w:t>
            </w:r>
          </w:p>
        </w:tc>
        <w:tc>
          <w:tcPr>
            <w:tcW w:w="4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EE82B6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空值、极值、异常输入均有对应逻辑</w:t>
            </w:r>
          </w:p>
        </w:tc>
      </w:tr>
      <w:tr w14:paraId="2D6ED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664BD2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兼容性</w:t>
            </w:r>
          </w:p>
        </w:tc>
        <w:tc>
          <w:tcPr>
            <w:tcW w:w="2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D2F4F2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与现有系统/模块是否兼容</w:t>
            </w:r>
          </w:p>
        </w:tc>
        <w:tc>
          <w:tcPr>
            <w:tcW w:w="4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69B9DE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无接口冲突、无数据格式不兼容问题</w:t>
            </w:r>
          </w:p>
        </w:tc>
      </w:tr>
    </w:tbl>
    <w:p w14:paraId="711FE3D0">
      <w:pPr>
        <w:rPr>
          <w:rFonts w:hint="eastAsia"/>
          <w:lang w:val="en-US" w:eastAsia="zh-CN"/>
        </w:rPr>
      </w:pPr>
    </w:p>
    <w:p w14:paraId="65BAD267">
      <w:pPr>
        <w:pStyle w:val="5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技术债务审查</w:t>
      </w:r>
    </w:p>
    <w:tbl>
      <w:tblPr>
        <w:tblW w:w="83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3158"/>
        <w:gridCol w:w="3875"/>
      </w:tblGrid>
      <w:tr w14:paraId="1CA9F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76" w:type="dxa"/>
            <w:shd w:val="clear" w:color="auto" w:fill="E7E6E6" w:themeFill="background2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4BEAE8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审查维度</w:t>
            </w:r>
          </w:p>
        </w:tc>
        <w:tc>
          <w:tcPr>
            <w:tcW w:w="3158" w:type="dxa"/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7AE75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审查要点</w:t>
            </w:r>
          </w:p>
        </w:tc>
        <w:tc>
          <w:tcPr>
            <w:tcW w:w="3875" w:type="dxa"/>
            <w:shd w:val="clear" w:color="auto" w:fill="E7E6E6" w:themeFill="background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0CC0D3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判定标准</w:t>
            </w:r>
          </w:p>
        </w:tc>
      </w:tr>
      <w:tr w14:paraId="318B5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4A125A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可维护性</w:t>
            </w:r>
          </w:p>
        </w:tc>
        <w:tc>
          <w:tcPr>
            <w:tcW w:w="315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A66FF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代码/设计是否模块化、注释是否完整</w:t>
            </w:r>
          </w:p>
        </w:tc>
        <w:tc>
          <w:tcPr>
            <w:tcW w:w="387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6DD110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无硬编码、无过度耦合、注释清晰</w:t>
            </w:r>
          </w:p>
        </w:tc>
      </w:tr>
      <w:tr w14:paraId="280E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EE1B0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性能损耗</w:t>
            </w:r>
          </w:p>
        </w:tc>
        <w:tc>
          <w:tcPr>
            <w:tcW w:w="315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C37CD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算法复杂度、资源占用是否合理</w:t>
            </w:r>
          </w:p>
        </w:tc>
        <w:tc>
          <w:tcPr>
            <w:tcW w:w="387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EBE893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无明显性能瓶颈，满足性能指标</w:t>
            </w:r>
          </w:p>
        </w:tc>
      </w:tr>
      <w:tr w14:paraId="2892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04F2A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重构成本</w:t>
            </w:r>
          </w:p>
        </w:tc>
        <w:tc>
          <w:tcPr>
            <w:tcW w:w="315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D4547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后续迭代扩展的难度评估</w:t>
            </w:r>
          </w:p>
        </w:tc>
        <w:tc>
          <w:tcPr>
            <w:tcW w:w="387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F085ED">
            <w:pPr>
              <w:keepNext w:val="0"/>
              <w:keepLines w:val="0"/>
              <w:widowControl/>
              <w:suppressLineNumbers w:val="0"/>
              <w:spacing w:line="250" w:lineRule="atLeast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重构成本低，支持业务快速迭代</w:t>
            </w:r>
          </w:p>
        </w:tc>
      </w:tr>
    </w:tbl>
    <w:p w14:paraId="5F1F3F86">
      <w:pPr>
        <w:ind w:left="0" w:leftChars="0" w:firstLine="0" w:firstLineChars="0"/>
      </w:pPr>
    </w:p>
    <w:p w14:paraId="30C65D11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 xml:space="preserve"> 审查流程</w:t>
      </w:r>
    </w:p>
    <w:p w14:paraId="01CA7C57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提交流程：设计人员提交 AI 辅助生成的成果，附带《AI 贡献标识表》《设计决策溯源表》。</w:t>
      </w:r>
    </w:p>
    <w:p w14:paraId="4FF85244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预审阶段：评审组长对提交材料完整性进行审核，材料不全则退回补充。</w:t>
      </w:r>
    </w:p>
    <w:p w14:paraId="0AE48F3B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评审会议：评审团队按审查要点逐项评审，记录问题及整改建议。</w:t>
      </w:r>
    </w:p>
    <w:p w14:paraId="75CE182F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结论输出：形成《设计评审报告》，明确成果状态（通过 / 整改后重审 / 否决）。</w:t>
      </w:r>
    </w:p>
    <w:p w14:paraId="2D017FC7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整改复查：整改完成后提交复查，复查通过方可进入下一阶段。</w:t>
      </w:r>
    </w:p>
    <w:p w14:paraId="678865EB">
      <w:pPr>
        <w:ind w:left="0" w:leftChars="0" w:firstLine="0" w:firstLineChars="0"/>
        <w:rPr>
          <w:rFonts w:hint="eastAsia"/>
        </w:rPr>
      </w:pPr>
    </w:p>
    <w:p w14:paraId="053DE68C">
      <w:pPr>
        <w:pStyle w:val="4"/>
        <w:bidi w:val="0"/>
        <w:ind w:left="0" w:leftChars="0" w:firstLine="0" w:firstLineChars="0"/>
        <w:rPr>
          <w:rFonts w:hint="eastAsia"/>
        </w:rPr>
      </w:pPr>
    </w:p>
    <w:p w14:paraId="5028D68D">
      <w:pPr>
        <w:pStyle w:val="4"/>
        <w:bidi w:val="0"/>
        <w:ind w:left="0" w:leftChars="0" w:firstLine="0" w:firstLineChars="0"/>
        <w:rPr>
          <w:rFonts w:hint="eastAsia"/>
        </w:rPr>
      </w:pPr>
      <w:bookmarkStart w:id="0" w:name="_GoBack"/>
      <w:bookmarkEnd w:id="0"/>
      <w:r>
        <w:rPr>
          <w:rFonts w:hint="eastAsia"/>
        </w:rPr>
        <w:t>6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 xml:space="preserve"> 评审记录要求</w:t>
      </w:r>
    </w:p>
    <w:p w14:paraId="07BB81F1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所有评审过程需形成《AI 辅助设计评审报告》，包含评审意见、问题清单、整改要求，归档至项目知识库，留存期限不少于项目生命周期。</w:t>
      </w:r>
    </w:p>
    <w:p w14:paraId="4091E64D">
      <w:pPr>
        <w:ind w:left="0" w:leftChars="0" w:firstLine="0" w:firstLineChars="0"/>
        <w:rPr>
          <w:rFonts w:hint="eastAsia"/>
        </w:rPr>
      </w:pPr>
    </w:p>
    <w:p w14:paraId="63399868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7. </w:t>
      </w:r>
      <w:r>
        <w:rPr>
          <w:rFonts w:hint="eastAsia"/>
        </w:rPr>
        <w:t>附则</w:t>
      </w:r>
    </w:p>
    <w:p w14:paraId="6978C500">
      <w:pPr>
        <w:ind w:left="0" w:leftChars="0" w:firstLine="0" w:firstLineChars="0"/>
      </w:pPr>
      <w:r>
        <w:rPr>
          <w:rFonts w:hint="eastAsia"/>
        </w:rPr>
        <w:t>本规范由技术部负责解释与修订，自发布之日起生效。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77"/>
      </w:pPr>
      <w:r>
        <w:separator/>
      </w:r>
    </w:p>
  </w:endnote>
  <w:endnote w:type="continuationSeparator" w:id="1">
    <w:p>
      <w:pPr>
        <w:spacing w:line="240" w:lineRule="auto"/>
        <w:ind w:firstLine="47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77"/>
      </w:pPr>
      <w:r>
        <w:separator/>
      </w:r>
    </w:p>
  </w:footnote>
  <w:footnote w:type="continuationSeparator" w:id="1">
    <w:p>
      <w:pPr>
        <w:spacing w:line="240" w:lineRule="auto"/>
        <w:ind w:firstLine="477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E1D79"/>
    <w:rsid w:val="20AD0286"/>
    <w:rsid w:val="274B4D62"/>
    <w:rsid w:val="285E0CB0"/>
    <w:rsid w:val="2F7B41B6"/>
    <w:rsid w:val="4D6E1D79"/>
    <w:rsid w:val="6B2A62D8"/>
    <w:rsid w:val="6B823DB5"/>
    <w:rsid w:val="7C18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78" w:firstLineChars="199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link w:val="9"/>
    <w:qFormat/>
    <w:uiPriority w:val="0"/>
    <w:pPr>
      <w:spacing w:before="100" w:beforeLines="100" w:after="100" w:afterLines="100"/>
      <w:outlineLvl w:val="0"/>
    </w:pPr>
    <w:rPr>
      <w:rFonts w:ascii="Times New Roman" w:hAnsi="Times New Roman" w:eastAsia="宋体"/>
      <w:b/>
      <w:bCs/>
      <w:sz w:val="30"/>
      <w:szCs w:val="20"/>
    </w:rPr>
  </w:style>
  <w:style w:type="paragraph" w:styleId="4">
    <w:name w:val="heading 2"/>
    <w:basedOn w:val="3"/>
    <w:next w:val="1"/>
    <w:link w:val="10"/>
    <w:unhideWhenUsed/>
    <w:qFormat/>
    <w:uiPriority w:val="0"/>
    <w:pPr>
      <w:spacing w:before="50" w:beforeLines="50" w:after="50" w:afterLines="50" w:line="400" w:lineRule="exact"/>
      <w:outlineLvl w:val="1"/>
    </w:pPr>
    <w:rPr>
      <w:rFonts w:hAnsi="宋体" w:eastAsia="宋体"/>
      <w:b/>
      <w:bCs/>
      <w:sz w:val="28"/>
      <w:szCs w:val="20"/>
    </w:rPr>
  </w:style>
  <w:style w:type="paragraph" w:styleId="5">
    <w:name w:val="heading 3"/>
    <w:basedOn w:val="3"/>
    <w:next w:val="1"/>
    <w:link w:val="11"/>
    <w:unhideWhenUsed/>
    <w:qFormat/>
    <w:uiPriority w:val="0"/>
    <w:pPr>
      <w:spacing w:before="50" w:beforeLines="50" w:after="50" w:afterLines="50" w:line="400" w:lineRule="exact"/>
      <w:outlineLvl w:val="2"/>
    </w:pPr>
    <w:rPr>
      <w:rFonts w:hAnsi="宋体" w:eastAsia="宋体"/>
      <w:b/>
      <w:bCs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6">
    <w:name w:val="Normal (Web)"/>
    <w:basedOn w:val="1"/>
    <w:uiPriority w:val="0"/>
    <w:rPr>
      <w:sz w:val="24"/>
    </w:rPr>
  </w:style>
  <w:style w:type="character" w:customStyle="1" w:styleId="9">
    <w:name w:val="标题 1 字符"/>
    <w:link w:val="2"/>
    <w:qFormat/>
    <w:uiPriority w:val="0"/>
    <w:rPr>
      <w:rFonts w:ascii="Times New Roman" w:hAnsi="Times New Roman" w:eastAsia="宋体"/>
      <w:b/>
      <w:bCs/>
      <w:kern w:val="2"/>
      <w:sz w:val="30"/>
      <w:szCs w:val="20"/>
      <w:lang w:val="en-US" w:eastAsia="zh-CN" w:bidi="ar-SA"/>
    </w:rPr>
  </w:style>
  <w:style w:type="character" w:customStyle="1" w:styleId="10">
    <w:name w:val="标题 2 Char"/>
    <w:link w:val="4"/>
    <w:qFormat/>
    <w:uiPriority w:val="0"/>
    <w:rPr>
      <w:rFonts w:hAnsi="宋体" w:eastAsia="宋体"/>
      <w:b/>
      <w:bCs/>
      <w:sz w:val="28"/>
      <w:szCs w:val="20"/>
    </w:rPr>
  </w:style>
  <w:style w:type="character" w:customStyle="1" w:styleId="11">
    <w:name w:val="标题 3 Char"/>
    <w:link w:val="5"/>
    <w:qFormat/>
    <w:uiPriority w:val="0"/>
    <w:rPr>
      <w:rFonts w:hAnsi="宋体" w:eastAsia="宋体"/>
      <w:b/>
      <w:bCs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2026-01-15T01:34:00Z</dcterms:created>
  <dc:creator>故人</dc:creator>
  <cp:lastModifiedBy>故人</cp:lastModifiedBy>
  <dcterms:modified xsi:type="dcterms:W3CDTF">2026-01-15T01:44:15Z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C1139F2432844949A38C0525C3C6F9FF_11</vt:lpwstr>
  </property>
  <property fmtid="{D5CDD505-2E9C-101B-9397-08002B2CF9AE}" pid="4" name="KSOTemplateDocerSaveRecord">
    <vt:lpwstr>eyJoZGlkIjoiNWRhYmQ3NzYwNGUyMWU3MTQzZjAwNjllNDkxYjYxNGEiLCJ1c2VySWQiOiIxMTY3NjMyOTQ4In0=</vt:lpwstr>
  </property>
</Properties>
</file>