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/>
          <w:sz w:val="21"/>
          <w:szCs w:val="22"/>
        </w:rPr>
        <w:id w:val="147457103"/>
        <w15:color w:val="DBDBDB"/>
        <w:docPartObj>
          <w:docPartGallery w:val="Table of Contents"/>
          <w:docPartUnique/>
        </w:docPartObj>
      </w:sdtPr>
      <w:sdtContent>
        <w:p w14:paraId="098B63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1"/>
              <w:szCs w:val="22"/>
            </w:rPr>
          </w:pPr>
          <w:r>
            <w:rPr>
              <w:rFonts w:ascii="宋体" w:hAnsi="宋体" w:eastAsia="宋体"/>
              <w:sz w:val="21"/>
              <w:szCs w:val="22"/>
            </w:rPr>
            <w:t>目录</w:t>
          </w:r>
        </w:p>
        <w:p w14:paraId="1AB9D10F">
          <w:pPr>
            <w:pStyle w:val="7"/>
            <w:tabs>
              <w:tab w:val="right" w:leader="dot" w:pos="8305"/>
            </w:tabs>
            <w:ind w:left="0" w:leftChars="0" w:firstLine="0" w:firstLineChars="0"/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TOC \o "1-3" \h \u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_Toc11798 </w:instrText>
          </w:r>
          <w:r>
            <w:rPr>
              <w:szCs w:val="22"/>
            </w:rPr>
            <w:fldChar w:fldCharType="separate"/>
          </w:r>
          <w:r>
            <w:rPr>
              <w:rFonts w:hint="eastAsia" w:eastAsia="宋体" w:cs="Times New Roman"/>
              <w:szCs w:val="24"/>
              <w:lang w:val="en-US" w:eastAsia="zh-CN" w:bidi="ar-SA"/>
            </w:rPr>
            <w:t>1 总则</w:t>
          </w:r>
          <w:r>
            <w:tab/>
          </w:r>
          <w:r>
            <w:fldChar w:fldCharType="begin"/>
          </w:r>
          <w:r>
            <w:instrText xml:space="preserve"> PAGEREF _Toc11798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3F9510FD">
          <w:pPr>
            <w:pStyle w:val="8"/>
            <w:tabs>
              <w:tab w:val="right" w:leader="dot" w:pos="8305"/>
            </w:tabs>
            <w:ind w:left="0" w:leftChars="0" w:firstLine="420" w:firstLineChars="200"/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_Toc6714 </w:instrText>
          </w:r>
          <w:r>
            <w:rPr>
              <w:szCs w:val="20"/>
            </w:rPr>
            <w:fldChar w:fldCharType="separate"/>
          </w:r>
          <w:r>
            <w:rPr>
              <w:rFonts w:hint="eastAsia" w:eastAsia="宋体" w:cs="Times New Roman"/>
              <w:kern w:val="2"/>
              <w:szCs w:val="24"/>
              <w:lang w:val="en-US" w:eastAsia="zh-CN" w:bidi="ar-SA"/>
            </w:rPr>
            <w:t>1.1 目的</w:t>
          </w:r>
          <w:r>
            <w:tab/>
          </w:r>
          <w:r>
            <w:fldChar w:fldCharType="begin"/>
          </w:r>
          <w:r>
            <w:instrText xml:space="preserve"> PAGEREF _Toc6714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0F97C36C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_Toc12450 </w:instrText>
          </w:r>
          <w:r>
            <w:rPr>
              <w:szCs w:val="20"/>
            </w:rP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1.2 适用范围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_Toc12450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2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560FA747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_Toc4129 </w:instrText>
          </w:r>
          <w:r>
            <w:rPr>
              <w:szCs w:val="20"/>
            </w:rP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1.3 核心原则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_Toc4129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2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51D530D2">
          <w:pPr>
            <w:pStyle w:val="7"/>
            <w:tabs>
              <w:tab w:val="right" w:leader="dot" w:pos="8305"/>
            </w:tabs>
            <w:ind w:left="0" w:leftChars="0" w:firstLine="0" w:firstLineChars="0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_Toc12273 </w:instrText>
          </w:r>
          <w:r>
            <w:rPr>
              <w:szCs w:val="22"/>
            </w:rPr>
            <w:fldChar w:fldCharType="separate"/>
          </w:r>
          <w:r>
            <w:rPr>
              <w:szCs w:val="22"/>
              <w:lang w:val="en-US" w:eastAsia="zh-CN"/>
            </w:rPr>
            <w:t>2 技术规范</w:t>
          </w:r>
          <w:r>
            <w:rPr>
              <w:szCs w:val="22"/>
            </w:rPr>
            <w:tab/>
          </w: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PAGEREF _Toc12273 \h </w:instrText>
          </w:r>
          <w:r>
            <w:rPr>
              <w:szCs w:val="22"/>
            </w:rPr>
            <w:fldChar w:fldCharType="separate"/>
          </w:r>
          <w:r>
            <w:rPr>
              <w:szCs w:val="22"/>
            </w:rPr>
            <w:t>3</w:t>
          </w:r>
          <w:r>
            <w:rPr>
              <w:szCs w:val="22"/>
            </w:rPr>
            <w:fldChar w:fldCharType="end"/>
          </w:r>
          <w:r>
            <w:rPr>
              <w:szCs w:val="22"/>
            </w:rPr>
            <w:fldChar w:fldCharType="end"/>
          </w:r>
        </w:p>
        <w:p w14:paraId="00B4A7DE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_Toc25166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2.1 AI选型约束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_Toc25166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3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050FFCEF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_Toc28606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2.2 AI接入约束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_Toc28606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3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487EB775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_Toc3082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2.3 开发过程AI使用约束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_Toc3082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3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5BE614AA">
          <w:pPr>
            <w:pStyle w:val="6"/>
            <w:tabs>
              <w:tab w:val="right" w:leader="dot" w:pos="8305"/>
            </w:tabs>
            <w:ind w:left="0" w:leftChars="0" w:firstLine="840" w:firstLineChars="400"/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_Toc4803 </w:instrText>
          </w:r>
          <w:r>
            <w:rPr>
              <w:szCs w:val="20"/>
            </w:rPr>
            <w:fldChar w:fldCharType="separate"/>
          </w:r>
          <w:r>
            <w:rPr>
              <w:lang w:val="en-US" w:eastAsia="zh-CN"/>
            </w:rPr>
            <w:t>2.3.1 数据使用约束</w:t>
          </w:r>
          <w:r>
            <w:tab/>
          </w:r>
          <w:r>
            <w:fldChar w:fldCharType="begin"/>
          </w:r>
          <w:r>
            <w:instrText xml:space="preserve"> PAGEREF _Toc4803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6BB4FB34">
          <w:pPr>
            <w:pStyle w:val="6"/>
            <w:tabs>
              <w:tab w:val="right" w:leader="dot" w:pos="8305"/>
            </w:tabs>
            <w:ind w:left="0" w:leftChars="0" w:firstLine="840" w:firstLineChars="400"/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_Toc12144 </w:instrText>
          </w:r>
          <w:r>
            <w:rPr>
              <w:szCs w:val="20"/>
            </w:rPr>
            <w:fldChar w:fldCharType="separate"/>
          </w:r>
          <w:r>
            <w:rPr>
              <w:lang w:val="en-US" w:eastAsia="zh-CN"/>
            </w:rPr>
            <w:t xml:space="preserve">2.3.2 </w:t>
          </w:r>
          <w:r>
            <w:rPr>
              <w:lang w:val="en-US" w:eastAsia="zh-CN"/>
            </w:rPr>
            <w:t>任务</w:t>
          </w:r>
          <w:r>
            <w:rPr>
              <w:lang w:val="en-US" w:eastAsia="zh-CN"/>
            </w:rPr>
            <w:t>执行约束</w:t>
          </w:r>
          <w:r>
            <w:tab/>
          </w:r>
          <w:r>
            <w:fldChar w:fldCharType="begin"/>
          </w:r>
          <w:r>
            <w:instrText xml:space="preserve"> PAGEREF _Toc12144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43A1D9B1">
          <w:pPr>
            <w:pStyle w:val="6"/>
            <w:tabs>
              <w:tab w:val="right" w:leader="dot" w:pos="8305"/>
            </w:tabs>
            <w:ind w:left="0" w:leftChars="0" w:firstLine="840" w:firstLineChars="400"/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_Toc15310 </w:instrText>
          </w:r>
          <w:r>
            <w:rPr>
              <w:szCs w:val="20"/>
            </w:rPr>
            <w:fldChar w:fldCharType="separate"/>
          </w:r>
          <w:r>
            <w:rPr>
              <w:lang w:val="en-US" w:eastAsia="zh-CN"/>
            </w:rPr>
            <w:t>2.3.3 安全防护约束</w:t>
          </w:r>
          <w:r>
            <w:tab/>
          </w:r>
          <w:r>
            <w:fldChar w:fldCharType="begin"/>
          </w:r>
          <w:r>
            <w:instrText xml:space="preserve"> PAGEREF _Toc15310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001A7571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_Toc20656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2.4 测试阶段AI使用约束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_Toc20656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4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426DB521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_Toc134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2.5 部署与运维约束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_Toc134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5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2084444D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_Toc4163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2.6 AI辅助软件设计技术规范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_Toc4163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5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71720F8A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_Toc829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2.6.1 核心技术标准（公司级强制标准）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_Toc829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5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0807EAED">
          <w:pPr>
            <w:pStyle w:val="6"/>
            <w:tabs>
              <w:tab w:val="right" w:leader="dot" w:pos="8305"/>
            </w:tabs>
            <w:ind w:left="0" w:leftChars="0" w:firstLine="840" w:firstLineChars="400"/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_Toc1001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2.6.2 设计评审专项规范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_Toc1001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6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78F64674">
          <w:pPr>
            <w:pStyle w:val="7"/>
            <w:tabs>
              <w:tab w:val="right" w:leader="dot" w:pos="8305"/>
            </w:tabs>
            <w:ind w:left="0" w:leftChars="0" w:firstLine="0" w:firstLineChars="0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_Toc29836 </w:instrText>
          </w:r>
          <w:r>
            <w:rPr>
              <w:szCs w:val="22"/>
            </w:rPr>
            <w:fldChar w:fldCharType="separate"/>
          </w:r>
          <w:r>
            <w:rPr>
              <w:szCs w:val="22"/>
              <w:lang w:val="en-US" w:eastAsia="zh-CN"/>
            </w:rPr>
            <w:t>3 文档规范</w:t>
          </w:r>
          <w:r>
            <w:rPr>
              <w:szCs w:val="22"/>
            </w:rPr>
            <w:tab/>
          </w: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PAGEREF _Toc29836 \h </w:instrText>
          </w:r>
          <w:r>
            <w:rPr>
              <w:szCs w:val="22"/>
            </w:rPr>
            <w:fldChar w:fldCharType="separate"/>
          </w:r>
          <w:r>
            <w:rPr>
              <w:szCs w:val="22"/>
            </w:rPr>
            <w:t>6</w:t>
          </w:r>
          <w:r>
            <w:rPr>
              <w:szCs w:val="22"/>
            </w:rPr>
            <w:fldChar w:fldCharType="end"/>
          </w:r>
          <w:r>
            <w:rPr>
              <w:szCs w:val="22"/>
            </w:rPr>
            <w:fldChar w:fldCharType="end"/>
          </w:r>
        </w:p>
        <w:p w14:paraId="6FB93DF7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_Toc3172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3.1 文档核心要求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_Toc3172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6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7119B958">
          <w:pPr>
            <w:pStyle w:val="8"/>
            <w:tabs>
              <w:tab w:val="right" w:leader="dot" w:pos="8305"/>
            </w:tabs>
            <w:ind w:left="0" w:leftChars="0" w:firstLine="420" w:firstLineChars="200"/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_Toc645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3.2 必选文档清单及要求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_Toc645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7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4E992C27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_Toc13908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3.2.1 AI选型评估文档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_Toc13908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7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1586AF77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_Toc10944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3.2.2 AI接入设计文档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_Toc10944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7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39814539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_Toc26269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3.2.3 AI使用操作手册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_Toc26269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7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42F8EC92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_Toc19861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3.2.4 AI测试报告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_Toc19861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8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1DA0C9B8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_Toc22325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3.2.5 AI部署与运维文档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_Toc22325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8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1374906E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_Toc5168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3.2.6 AI使用审计报告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_Toc5168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8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1E0DE358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_Toc20316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3.2.7 AI辅助架构设计说明书（通用模板）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_Toc20316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9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0D924F1C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_Toc2165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3.2.8 模块详细设计说明书（通用模板）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_Toc2165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9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63EBC88B">
          <w:pPr>
            <w:pStyle w:val="6"/>
            <w:tabs>
              <w:tab w:val="right" w:leader="dot" w:pos="8305"/>
            </w:tabs>
            <w:ind w:left="0" w:leftChars="0" w:firstLine="840" w:firstLineChars="400"/>
            <w:rPr>
              <w:lang w:val="en-US" w:eastAsia="zh-CN"/>
            </w:rPr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_Toc6784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3.2.9 AI代码审查记录表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_Toc6784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10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3BFBF74C">
          <w:pPr>
            <w:pStyle w:val="6"/>
            <w:tabs>
              <w:tab w:val="right" w:leader="dot" w:pos="8305"/>
            </w:tabs>
            <w:ind w:left="0" w:leftChars="0" w:firstLine="840" w:firstLineChars="400"/>
          </w:pP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HYPERLINK \l _Toc29896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3.2.10 配套规范文档</w:t>
          </w:r>
          <w:r>
            <w:rPr>
              <w:lang w:val="en-US" w:eastAsia="zh-CN"/>
            </w:rPr>
            <w:tab/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 PAGEREF _Toc29896 \h </w:instrText>
          </w:r>
          <w:r>
            <w:rPr>
              <w:lang w:val="en-US" w:eastAsia="zh-CN"/>
            </w:rPr>
            <w:fldChar w:fldCharType="separate"/>
          </w:r>
          <w:r>
            <w:rPr>
              <w:lang w:val="en-US" w:eastAsia="zh-CN"/>
            </w:rPr>
            <w:t>10</w:t>
          </w:r>
          <w:r>
            <w:rPr>
              <w:lang w:val="en-US" w:eastAsia="zh-CN"/>
            </w:rPr>
            <w:fldChar w:fldCharType="end"/>
          </w:r>
          <w:r>
            <w:rPr>
              <w:lang w:val="en-US" w:eastAsia="zh-CN"/>
            </w:rPr>
            <w:fldChar w:fldCharType="end"/>
          </w:r>
        </w:p>
        <w:p w14:paraId="4822080C">
          <w:pPr>
            <w:pStyle w:val="7"/>
            <w:tabs>
              <w:tab w:val="right" w:leader="dot" w:pos="8305"/>
            </w:tabs>
            <w:ind w:left="0" w:leftChars="0" w:firstLine="0" w:firstLineChars="0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_Toc7011 </w:instrText>
          </w:r>
          <w:r>
            <w:rPr>
              <w:szCs w:val="22"/>
            </w:rPr>
            <w:fldChar w:fldCharType="separate"/>
          </w:r>
          <w:r>
            <w:rPr>
              <w:szCs w:val="22"/>
              <w:lang w:val="en-US" w:eastAsia="zh-CN"/>
            </w:rPr>
            <w:t>4 附则</w:t>
          </w:r>
          <w:r>
            <w:rPr>
              <w:szCs w:val="22"/>
            </w:rPr>
            <w:tab/>
          </w: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PAGEREF _Toc7011 \h </w:instrText>
          </w:r>
          <w:r>
            <w:rPr>
              <w:szCs w:val="22"/>
            </w:rPr>
            <w:fldChar w:fldCharType="separate"/>
          </w:r>
          <w:r>
            <w:rPr>
              <w:szCs w:val="22"/>
            </w:rPr>
            <w:t>10</w:t>
          </w:r>
          <w:r>
            <w:rPr>
              <w:szCs w:val="22"/>
            </w:rPr>
            <w:fldChar w:fldCharType="end"/>
          </w:r>
          <w:r>
            <w:rPr>
              <w:szCs w:val="22"/>
            </w:rPr>
            <w:fldChar w:fldCharType="end"/>
          </w:r>
        </w:p>
        <w:p w14:paraId="1DEA16B7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_Toc4908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4.1 规范落地与培训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_Toc4908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10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2197164D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_Toc1332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4.2 规范更新与修订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_Toc1332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11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29E8B6AA">
          <w:pPr>
            <w:pStyle w:val="8"/>
            <w:tabs>
              <w:tab w:val="right" w:leader="dot" w:pos="8305"/>
            </w:tabs>
            <w:ind w:left="0" w:leftChars="0" w:firstLine="420" w:firstLineChars="200"/>
            <w:rPr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_Toc3680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4.3 责任追究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_Toc3680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11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25C59879">
          <w:pPr>
            <w:pStyle w:val="8"/>
            <w:tabs>
              <w:tab w:val="right" w:leader="dot" w:pos="8305"/>
            </w:tabs>
            <w:ind w:left="0" w:leftChars="0" w:firstLine="420" w:firstLineChars="200"/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_Toc21184 </w:instrText>
          </w:r>
          <w:r>
            <w:rPr>
              <w:szCs w:val="20"/>
            </w:rPr>
            <w:fldChar w:fldCharType="separate"/>
          </w:r>
          <w:r>
            <w:rPr>
              <w:szCs w:val="20"/>
              <w:lang w:val="en-US" w:eastAsia="zh-CN"/>
            </w:rPr>
            <w:t>4.4 生效日期</w:t>
          </w:r>
          <w:r>
            <w:rPr>
              <w:szCs w:val="20"/>
            </w:rPr>
            <w:tab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PAGEREF _Toc21184 \h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11</w:t>
          </w:r>
          <w:r>
            <w:rPr>
              <w:szCs w:val="20"/>
            </w:rPr>
            <w:fldChar w:fldCharType="end"/>
          </w:r>
          <w:r>
            <w:rPr>
              <w:szCs w:val="20"/>
            </w:rPr>
            <w:fldChar w:fldCharType="end"/>
          </w:r>
        </w:p>
        <w:p w14:paraId="6EB43826">
          <w:pPr>
            <w:pStyle w:val="2"/>
            <w:bidi w:val="0"/>
            <w:ind w:left="0" w:leftChars="0" w:firstLine="0" w:firstLineChars="0"/>
            <w:jc w:val="center"/>
          </w:pPr>
          <w:r>
            <w:rPr>
              <w:szCs w:val="20"/>
            </w:rPr>
            <w:fldChar w:fldCharType="end"/>
          </w:r>
          <w:bookmarkStart w:id="0" w:name="heading_0"/>
          <w:bookmarkStart w:id="1" w:name="_Toc20496"/>
          <w:bookmarkStart w:id="2" w:name="_Toc11798"/>
        </w:p>
      </w:sdtContent>
    </w:sdt>
    <w:p w14:paraId="4F816639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总则</w:t>
      </w:r>
      <w:bookmarkEnd w:id="0"/>
      <w:bookmarkEnd w:id="1"/>
      <w:bookmarkEnd w:id="2"/>
      <w:bookmarkStart w:id="102" w:name="_GoBack"/>
      <w:bookmarkEnd w:id="102"/>
    </w:p>
    <w:p w14:paraId="18973105">
      <w:pPr>
        <w:pStyle w:val="3"/>
        <w:spacing w:before="156" w:after="156"/>
        <w:ind w:firstLine="0" w:firstLineChars="0"/>
        <w:rPr>
          <w:rFonts w:hint="eastAsia" w:eastAsia="宋体" w:cs="Times New Roman"/>
          <w:kern w:val="2"/>
          <w:szCs w:val="24"/>
          <w:lang w:val="en-US" w:eastAsia="zh-CN" w:bidi="ar-SA"/>
        </w:rPr>
      </w:pPr>
      <w:bookmarkStart w:id="3" w:name="_Toc17953"/>
      <w:bookmarkStart w:id="4" w:name="heading_1"/>
      <w:bookmarkStart w:id="5" w:name="_Toc6714"/>
      <w:r>
        <w:rPr>
          <w:rFonts w:hint="eastAsia" w:eastAsia="宋体" w:cs="Times New Roman"/>
          <w:kern w:val="2"/>
          <w:szCs w:val="24"/>
          <w:lang w:val="en-US" w:eastAsia="zh-CN" w:bidi="ar-SA"/>
        </w:rPr>
        <w:t>1.1 目的</w:t>
      </w:r>
      <w:bookmarkEnd w:id="3"/>
      <w:bookmarkEnd w:id="4"/>
      <w:bookmarkEnd w:id="5"/>
    </w:p>
    <w:p w14:paraId="4EE7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为规范软件开发全流程中AI技术（含大模型、AI设计工具、代码生成工具等）的使用行为，重点明确AI辅助软件设计阶段的</w:t>
      </w: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技术要求与文档标准，降低技术风险、数据安全风险、合规风险及业务可靠性风险，保障开发质量与效率平衡，特制定本规范。</w:t>
      </w:r>
    </w:p>
    <w:p w14:paraId="57A23AF9">
      <w:pPr>
        <w:pStyle w:val="3"/>
        <w:spacing w:before="156" w:after="156"/>
        <w:ind w:firstLine="0" w:firstLineChars="0"/>
        <w:rPr>
          <w:rFonts w:hint="eastAsia" w:eastAsia="宋体" w:cs="Times New Roman"/>
          <w:kern w:val="2"/>
          <w:szCs w:val="24"/>
          <w:lang w:val="en-US" w:eastAsia="zh-CN" w:bidi="ar-SA"/>
        </w:rPr>
      </w:pPr>
      <w:bookmarkStart w:id="6" w:name="heading_2"/>
      <w:bookmarkStart w:id="7" w:name="_Toc4927"/>
      <w:bookmarkStart w:id="8" w:name="_Toc12450"/>
      <w:r>
        <w:rPr>
          <w:rFonts w:hint="eastAsia" w:eastAsia="宋体" w:cs="Times New Roman"/>
          <w:kern w:val="2"/>
          <w:szCs w:val="24"/>
          <w:lang w:val="en-US" w:eastAsia="zh-CN" w:bidi="ar-SA"/>
        </w:rPr>
        <w:t>1.2 适用范围</w:t>
      </w:r>
      <w:bookmarkEnd w:id="6"/>
      <w:bookmarkEnd w:id="7"/>
      <w:bookmarkEnd w:id="8"/>
    </w:p>
    <w:p w14:paraId="026C0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本规范适用于公司所有软件产品（含自研、外包、二次开发）的开发全流程，涵盖需求分析、设计、编码、测试、部署、运维及迭代阶段；适用于所有开发相关角色，包括产品经理、架构师、开发工程师、测试工程师、运维工程师及安全专员。</w:t>
      </w:r>
    </w:p>
    <w:p w14:paraId="77169211">
      <w:pPr>
        <w:pStyle w:val="3"/>
        <w:spacing w:before="156" w:after="156"/>
        <w:ind w:firstLine="0" w:firstLineChars="0"/>
        <w:rPr>
          <w:rFonts w:hint="eastAsia" w:eastAsia="宋体" w:cs="Times New Roman"/>
          <w:kern w:val="2"/>
          <w:szCs w:val="24"/>
          <w:lang w:val="en-US" w:eastAsia="zh-CN" w:bidi="ar-SA"/>
        </w:rPr>
      </w:pPr>
      <w:bookmarkStart w:id="9" w:name="heading_3"/>
      <w:bookmarkStart w:id="10" w:name="_Toc8676"/>
      <w:bookmarkStart w:id="11" w:name="_Toc4129"/>
      <w:r>
        <w:rPr>
          <w:rFonts w:hint="eastAsia" w:eastAsia="宋体" w:cs="Times New Roman"/>
          <w:kern w:val="2"/>
          <w:szCs w:val="24"/>
          <w:lang w:val="en-US" w:eastAsia="zh-CN" w:bidi="ar-SA"/>
        </w:rPr>
        <w:t>1.3 核心原则</w:t>
      </w:r>
      <w:bookmarkEnd w:id="9"/>
      <w:bookmarkEnd w:id="10"/>
      <w:bookmarkEnd w:id="11"/>
    </w:p>
    <w:p w14:paraId="03425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合规性优先：严格遵循数据安全法、个人信息保护法、网络安全法等法律法规及行业监管要求；</w:t>
      </w:r>
    </w:p>
    <w:p w14:paraId="06E4A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可控性保障：AI使用的全流程需可追溯、可干预、可回滚，避免不可控的自主执行行为；</w:t>
      </w:r>
    </w:p>
    <w:p w14:paraId="2DA47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安全性底线：严防因AI使用导致的数据泄露、恶意攻击、业务中断等安全事件；</w:t>
      </w:r>
    </w:p>
    <w:p w14:paraId="18450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必要性约束：仅在提升开发效率、优化业务体验且人工无法替代的场景下使用AI，禁止冗余使用。</w:t>
      </w:r>
    </w:p>
    <w:p w14:paraId="048D8955">
      <w:pPr>
        <w:spacing w:before="120" w:after="120" w:line="288" w:lineRule="auto"/>
        <w:ind w:left="0"/>
        <w:jc w:val="left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A0A772F">
      <w:pPr>
        <w:pStyle w:val="2"/>
        <w:bidi w:val="0"/>
        <w:ind w:left="0" w:leftChars="0" w:firstLine="0" w:firstLineChars="0"/>
        <w:rPr>
          <w:lang w:val="en-US" w:eastAsia="zh-CN"/>
        </w:rPr>
      </w:pPr>
      <w:bookmarkStart w:id="12" w:name="heading_4"/>
      <w:bookmarkStart w:id="13" w:name="_Toc18470"/>
      <w:bookmarkStart w:id="14" w:name="_Toc12273"/>
      <w:r>
        <w:rPr>
          <w:lang w:val="en-US" w:eastAsia="zh-CN"/>
        </w:rPr>
        <w:t>2 技术规范</w:t>
      </w:r>
      <w:bookmarkEnd w:id="12"/>
      <w:bookmarkEnd w:id="13"/>
      <w:bookmarkEnd w:id="14"/>
    </w:p>
    <w:p w14:paraId="6C466603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15" w:name="_Toc570"/>
      <w:bookmarkStart w:id="16" w:name="heading_5"/>
      <w:bookmarkStart w:id="17" w:name="_Toc25166"/>
      <w:r>
        <w:rPr>
          <w:lang w:val="en-US" w:eastAsia="zh-CN"/>
        </w:rPr>
        <w:t>2.1 AI选型约束</w:t>
      </w:r>
      <w:bookmarkEnd w:id="15"/>
      <w:bookmarkEnd w:id="16"/>
      <w:bookmarkEnd w:id="17"/>
    </w:p>
    <w:p w14:paraId="237B7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资质合规：所选AI产品/工具需具备明确的合规资质，提供数据处理合规证明（如等保三级、GDPR认证等），禁止使用无资质的开源AI模型或第三方AI服务；</w:t>
      </w:r>
    </w:p>
    <w:p w14:paraId="77607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能力匹配：AI的功能范围需与开发场景精准匹配，重点核查AI在架构设计、代码生成、文档编制等设计相关场景的适配性，禁止选择超出业务需求的高权限AI；</w:t>
      </w:r>
    </w:p>
    <w:p w14:paraId="066AE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可靠性评估：需对AI的响应稳定性、误差率、故障恢复能力进行预评估，要求核心场景下AI的任务执行成功率不低于99%，误差率不高于1%；</w:t>
      </w:r>
    </w:p>
    <w:p w14:paraId="2BFA5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兼容性验证：AI需与现有技术架构（如操作系统、数据库、中间件）兼容，避免因兼容性问题导致系统异常，选型前需完成全环境兼容性测试。</w:t>
      </w:r>
    </w:p>
    <w:p w14:paraId="50E67A46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18" w:name="_Toc8995"/>
      <w:bookmarkStart w:id="19" w:name="heading_6"/>
      <w:bookmarkStart w:id="20" w:name="_Toc28606"/>
      <w:r>
        <w:rPr>
          <w:lang w:val="en-US" w:eastAsia="zh-CN"/>
        </w:rPr>
        <w:t>2.2 AI接入约束</w:t>
      </w:r>
      <w:bookmarkEnd w:id="18"/>
      <w:bookmarkEnd w:id="19"/>
      <w:bookmarkEnd w:id="20"/>
    </w:p>
    <w:p w14:paraId="12340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接入层隔离：AI服务需通过独立的接入层与业务系统对接，禁止直接嵌入核心业务模块；接入层需部署网关、防火墙，实现请求过滤、权限校验、流量控制功能；</w:t>
      </w:r>
    </w:p>
    <w:p w14:paraId="281E4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接口规范：采用标准化的API接口进行接入，接口需支持身份认证（如OAuth2.0、API密钥）、数据加密（如HTTPS、AES-256），禁止使用明文传输接口；</w:t>
      </w:r>
    </w:p>
    <w:p w14:paraId="1E007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限流熔断：接入层需配置限流规则（如单AI服务QPS不超过100）、熔断机制（如连续5次调用失败则触发熔断，熔断时长不少于30秒），避免AI服务异常影响整体业务；</w:t>
      </w:r>
    </w:p>
    <w:p w14:paraId="2649D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降级兜底：需设计AI服务降级策略，当AI服务故障、延迟过高或结果异常时，自动切换至人工处理或备用逻辑，确保业务连续性；</w:t>
      </w:r>
    </w:p>
    <w:p w14:paraId="34BEB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白名单管控：仅允许核心业务IP、指定开发设备接入AI服务，禁止外部公共网络直接访问AI接入接口。</w:t>
      </w:r>
      <w:bookmarkStart w:id="21" w:name="_Toc4589"/>
      <w:bookmarkStart w:id="22" w:name="heading_7"/>
    </w:p>
    <w:p w14:paraId="2F7C5850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23" w:name="_Toc3082"/>
      <w:r>
        <w:rPr>
          <w:lang w:val="en-US" w:eastAsia="zh-CN"/>
        </w:rPr>
        <w:t>2.3 开发过程AI使用约束</w:t>
      </w:r>
      <w:bookmarkEnd w:id="21"/>
      <w:bookmarkEnd w:id="22"/>
      <w:bookmarkEnd w:id="23"/>
    </w:p>
    <w:p w14:paraId="3E2B9048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24" w:name="_Toc21547"/>
      <w:bookmarkStart w:id="25" w:name="heading_8"/>
      <w:bookmarkStart w:id="26" w:name="_Toc4803"/>
      <w:r>
        <w:rPr>
          <w:lang w:val="en-US" w:eastAsia="zh-CN"/>
        </w:rPr>
        <w:t>2.3.1 数据使用约束</w:t>
      </w:r>
      <w:bookmarkEnd w:id="24"/>
      <w:bookmarkEnd w:id="25"/>
      <w:bookmarkEnd w:id="26"/>
    </w:p>
    <w:p w14:paraId="0F364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数据脱敏：输入AI的所有数据（含业务数据、用户数据、开发文档）必须经过脱敏处理，去除个人敏感信息（如姓名、身份证号、手机号）、核心业务机密（如商业逻辑、密钥信息）；</w:t>
      </w:r>
    </w:p>
    <w:p w14:paraId="6DA54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数据隔离：用于AI训练、推理的数据需存储在独立的加密数据库中，与生产数据物理隔离，禁止将生产环境数据直接导入AI系统；</w:t>
      </w:r>
    </w:p>
    <w:p w14:paraId="55938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数据权限：仅授权必要角色访问AI相关数据，实行最小权限原则，数据的读取、修改、删除需记录操作日志；</w:t>
      </w:r>
    </w:p>
    <w:p w14:paraId="76AB9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数据合规：禁止向AI系统输入违反法律法规、公序良俗的数据，禁止利用AI处理侵权、盗版数据。</w:t>
      </w:r>
    </w:p>
    <w:p w14:paraId="1BCB9E3A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27" w:name="_Toc6162"/>
      <w:bookmarkStart w:id="28" w:name="heading_9"/>
      <w:bookmarkStart w:id="29" w:name="_Toc12144"/>
      <w:r>
        <w:rPr>
          <w:lang w:val="en-US" w:eastAsia="zh-CN"/>
        </w:rPr>
        <w:t>2.3.2 任务执行约束</w:t>
      </w:r>
      <w:bookmarkEnd w:id="27"/>
      <w:bookmarkEnd w:id="28"/>
      <w:bookmarkEnd w:id="29"/>
    </w:p>
    <w:p w14:paraId="4E345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任务边界：明确AI可执行的任务清单（如代码生成、文档整理、测试用例设计），禁止AI执行核心业务逻辑修改、资金操作、系统配置变更等高危任务；</w:t>
      </w:r>
    </w:p>
    <w:p w14:paraId="3C241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人工复核：AI生成的代码、文档、测试用例等成果，必须经过人工复核确认无误后才能投入使用，复核比例100%，复核记录需留存；</w:t>
      </w:r>
    </w:p>
    <w:p w14:paraId="4111D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可追溯性：AI执行的每一项任务都需记录日志，包括任务指令、执行过程、输出结果、操作人、时间戳等信息，日志留存期限不少于6个月；</w:t>
      </w:r>
    </w:p>
    <w:p w14:paraId="52EBF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版本控制：AI生成的成果需纳入版本管理系统，明确版本号、修改记录，支持版本回滚，避免因AI迭代导致成果丢失或异常。</w:t>
      </w:r>
    </w:p>
    <w:p w14:paraId="6B547F9C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30" w:name="heading_10"/>
      <w:bookmarkStart w:id="31" w:name="_Toc18734"/>
      <w:bookmarkStart w:id="32" w:name="_Toc15310"/>
      <w:r>
        <w:rPr>
          <w:lang w:val="en-US" w:eastAsia="zh-CN"/>
        </w:rPr>
        <w:t>2.3.3 安全防护约束</w:t>
      </w:r>
      <w:bookmarkEnd w:id="30"/>
      <w:bookmarkEnd w:id="31"/>
      <w:bookmarkEnd w:id="32"/>
    </w:p>
    <w:p w14:paraId="266DE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prompt安全：禁止在prompt中包含敏感信息、恶意指令（如攻击指令、数据窃取指令），需对输入的prompt进行过滤清洗，拦截高危指令；</w:t>
      </w:r>
    </w:p>
    <w:p w14:paraId="03F4B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输出过滤：对AI的输出结果进行安全检测，过滤包含恶意代码、违规内容、错误信息的输出，确保输出成果的安全性与准确性；</w:t>
      </w:r>
    </w:p>
    <w:p w14:paraId="529E1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病毒查杀：AI生成的代码、文件需经过病毒查杀工具扫描，确认无恶意程序后才能使用；</w:t>
      </w:r>
    </w:p>
    <w:p w14:paraId="0AF0C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权限管控：开发人员使用AI的权限需分级授权（如初级开发仅可使用代码生成功能，架构师可使用架构设计辅助功能），定期审查权限，回收冗余权限。</w:t>
      </w:r>
    </w:p>
    <w:p w14:paraId="5E8CC5B6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33" w:name="_Toc10580"/>
      <w:bookmarkStart w:id="34" w:name="heading_11"/>
      <w:bookmarkStart w:id="35" w:name="_Toc20656"/>
      <w:r>
        <w:rPr>
          <w:lang w:val="en-US" w:eastAsia="zh-CN"/>
        </w:rPr>
        <w:t>2.4 测试阶段AI使用约束</w:t>
      </w:r>
      <w:bookmarkEnd w:id="33"/>
      <w:bookmarkEnd w:id="34"/>
      <w:bookmarkEnd w:id="35"/>
    </w:p>
    <w:p w14:paraId="08E1D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专项测试：需针对AI功能设计专项测试用例，覆盖正常场景、异常场景（如无效指令、高并发、数据异常）、边界场景，测试AI的稳定性、准确性、安全性；</w:t>
      </w:r>
    </w:p>
    <w:p w14:paraId="3D80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性能测试：对AI服务的响应时间、并发处理能力、资源占用（CPU、内存、带宽）进行测试，要求AI在峰值并发下响应时间不超过1秒，资源占用不超过系统总资源的30%；</w:t>
      </w:r>
    </w:p>
    <w:p w14:paraId="152A9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安全测试：开展AI专项安全测试，包括prompt注入测试、数据泄露测试、权限越界测试，确保AI不存在安全漏洞；</w:t>
      </w:r>
    </w:p>
    <w:p w14:paraId="15947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回归测试：当AI版本升级、接入接口变更时，需对依赖AI的业务模块进行全量回归测试，避免影响现有功能。</w:t>
      </w:r>
    </w:p>
    <w:p w14:paraId="37D29E42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36" w:name="_Toc12449"/>
      <w:bookmarkStart w:id="37" w:name="heading_12"/>
      <w:bookmarkStart w:id="38" w:name="_Toc134"/>
      <w:r>
        <w:rPr>
          <w:lang w:val="en-US" w:eastAsia="zh-CN"/>
        </w:rPr>
        <w:t>2.5 部署与运维约束</w:t>
      </w:r>
      <w:bookmarkEnd w:id="36"/>
      <w:bookmarkEnd w:id="37"/>
      <w:bookmarkEnd w:id="38"/>
    </w:p>
    <w:p w14:paraId="37B35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部署隔离：AI服务需独立部署，与生产业务系统物理隔离或逻辑隔离，部署环境需符合等保要求，配置独立的安全策略；</w:t>
      </w:r>
    </w:p>
    <w:p w14:paraId="07D7A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监控告警：部署AI服务监控系统，监控指标包括响应时间、成功率、错误率、资源占用、日志异常等，设置告警阈值（如错误率超过0.5%触发告警），告警响应时间不超过10分钟；</w:t>
      </w:r>
    </w:p>
    <w:p w14:paraId="2C5F0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应急处理：制定AI服务故障应急方案，明确故障定位流程、处理步骤、责任人，定期开展应急演练，确保故障发生时能快速恢复；</w:t>
      </w:r>
    </w:p>
    <w:p w14:paraId="58EA6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版本管理：AI服务的版本升级需遵循变更管理流程，提前进行灰度测试，升级过程中需保留回滚通道，升级后需验证功能稳定性；</w:t>
      </w:r>
    </w:p>
    <w:p w14:paraId="29D60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日志审计：定期对AI使用日志、操作日志进行审计，排查违规使用行为、安全风险，审计频率不少于每月1次，审计报告需留存。</w:t>
      </w:r>
    </w:p>
    <w:p w14:paraId="52E3852E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39" w:name="heading_13"/>
      <w:bookmarkStart w:id="40" w:name="_Toc23788"/>
      <w:bookmarkStart w:id="41" w:name="_Toc4163"/>
      <w:r>
        <w:rPr>
          <w:lang w:val="en-US" w:eastAsia="zh-CN"/>
        </w:rPr>
        <w:t>2.6 AI辅助软件设计技术规范</w:t>
      </w:r>
      <w:bookmarkEnd w:id="39"/>
      <w:bookmarkEnd w:id="40"/>
      <w:bookmarkEnd w:id="41"/>
    </w:p>
    <w:p w14:paraId="0ED51084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42" w:name="heading_14"/>
      <w:bookmarkStart w:id="43" w:name="_Toc9511"/>
      <w:bookmarkStart w:id="44" w:name="_Toc829"/>
      <w:r>
        <w:rPr>
          <w:lang w:val="en-US" w:eastAsia="zh-CN"/>
        </w:rPr>
        <w:t>2.6.1 核心技术标准（公司级强制标准）</w:t>
      </w:r>
      <w:bookmarkEnd w:id="42"/>
      <w:bookmarkEnd w:id="43"/>
      <w:bookmarkEnd w:id="44"/>
    </w:p>
    <w:p w14:paraId="07B94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AI代码生成约束标准：限定AI可生成代码范围为脚手架代码、基础CRUD操作代码、单元测试代码；严禁生成安全认证、支付逻辑、数据加密、权限管控等核心业务模块代码，禁止生成数据库配置、密钥相关代码；</w:t>
      </w:r>
    </w:p>
    <w:p w14:paraId="3BF8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AI生成代码质量门槛：必须通过三重质量校验方可提交：① 静态代码扫描（采用SonarQube等工具，需满足代码异味为0、漏洞高危及以上为0）；② 单元测试覆盖率≥80%；③ 人工逻辑审查通过（审查人需具备对应模块开发权限）；</w:t>
      </w:r>
    </w:p>
    <w:p w14:paraId="41F7B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设计建议采纳流程：严格遵循"AI建议→技术负责人初评→架构师团队评审→决策记录归档→人工验证落地"的闭环流程；其中技术负责人初评需重点评估技术债务风险，团队评审需形成书面评审意见，未通过评审的建议不得落地；</w:t>
      </w:r>
    </w:p>
    <w:p w14:paraId="4D9F1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AI使用权限分级机制：采用三级权限管控体系，具体如下：① 初级开发者：仅可使用AI生成单元测试代码，生成结果需由高级开发者复核；② 高级开发者：可使用AI生成业务逻辑代码、基础设计文档，生成结果需自行复核并留存记录；③ 专家级开发者（架构师/技术负责人）：可使用AI进行架构方案辅助设计、定制AI模型参数，需对AI建议的技术可行性负主要责任；</w:t>
      </w:r>
    </w:p>
    <w:p w14:paraId="15E7C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技术债务评估机制：建立AI设计建议技术债务量化评估模型，从兼容性、可维护性、性能损耗、重构成本四个维度评分（总分100分），评分≥80分方可纳入备选方案，评分＜60分直接否决。</w:t>
      </w:r>
    </w:p>
    <w:p w14:paraId="485F1735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45" w:name="_Toc27153"/>
      <w:bookmarkStart w:id="46" w:name="heading_15"/>
      <w:bookmarkStart w:id="47" w:name="_Toc1001"/>
      <w:r>
        <w:rPr>
          <w:lang w:val="en-US" w:eastAsia="zh-CN"/>
        </w:rPr>
        <w:t>2.6.2 设计评审专项规范</w:t>
      </w:r>
      <w:bookmarkEnd w:id="45"/>
      <w:bookmarkEnd w:id="46"/>
      <w:bookmarkEnd w:id="47"/>
    </w:p>
    <w:p w14:paraId="6AC9C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AI生成代码专项审查清单：审查内容需覆盖① 安全漏洞（重点核查输入验证、输出过滤、权限控制）；② 逻辑缺陷（核查业务规则符合性、边界条件处理）；③ 技术债务（核查代码冗余、耦合度）；④ 规范符合性（核查编码规范、注释完整性）；</w:t>
      </w:r>
    </w:p>
    <w:p w14:paraId="1AAF5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AI辅助设计评审要点：① AI建议的合理性（是否匹配业务需求、技术架构）；② 人工干预的充分性（是否对AI生成内容进行有效修正、优化）；③ 约束遵守情况（是否符合AI使用权限、代码生成范围等要求）；④ 技术债务可控性；</w:t>
      </w:r>
    </w:p>
    <w:p w14:paraId="0FBE4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评审记录要求：所有评审需形成《AI辅助设计评审记录表》，明确评审时间、评审人员、评审内容、评审结论、整改意见（如有），记录表需归档至项目知识库，留存期限不少于项目生命周期。</w:t>
      </w:r>
    </w:p>
    <w:p w14:paraId="71EC9278">
      <w:pPr>
        <w:pStyle w:val="2"/>
        <w:bidi w:val="0"/>
        <w:ind w:left="0" w:leftChars="0" w:firstLine="0" w:firstLineChars="0"/>
        <w:rPr>
          <w:lang w:val="en-US" w:eastAsia="zh-CN"/>
        </w:rPr>
      </w:pPr>
      <w:bookmarkStart w:id="48" w:name="_Toc29618"/>
      <w:bookmarkStart w:id="49" w:name="heading_16"/>
      <w:bookmarkStart w:id="50" w:name="_Toc29836"/>
      <w:r>
        <w:rPr>
          <w:lang w:val="en-US" w:eastAsia="zh-CN"/>
        </w:rPr>
        <w:t>3 文档规范</w:t>
      </w:r>
      <w:bookmarkEnd w:id="48"/>
      <w:bookmarkEnd w:id="49"/>
      <w:bookmarkEnd w:id="50"/>
    </w:p>
    <w:p w14:paraId="4F5F311C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51" w:name="heading_17"/>
      <w:bookmarkStart w:id="52" w:name="_Toc31263"/>
      <w:bookmarkStart w:id="53" w:name="_Toc3172"/>
      <w:r>
        <w:rPr>
          <w:lang w:val="en-US" w:eastAsia="zh-CN"/>
        </w:rPr>
        <w:t>3.1 文档核心要求</w:t>
      </w:r>
      <w:bookmarkEnd w:id="51"/>
      <w:bookmarkEnd w:id="52"/>
      <w:bookmarkEnd w:id="53"/>
    </w:p>
    <w:p w14:paraId="79B0D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完整性：文档需覆盖AI使用的全流程关键信息，无遗漏核心环节；</w:t>
      </w:r>
    </w:p>
    <w:p w14:paraId="1AA12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准确性：文档内容需真实、准确，与实际AI使用情况、技术实现一致；</w:t>
      </w:r>
    </w:p>
    <w:p w14:paraId="58FB5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可追溯性：文档需明确版本号、编制人、编制时间、审核人、审核时间，支持版本追溯；</w:t>
      </w:r>
    </w:p>
    <w:p w14:paraId="06C4C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安全性：文档需分级管控，敏感文档（如AI接入密钥、安全策略）需加密存储，仅授权人员可访问。</w:t>
      </w:r>
    </w:p>
    <w:p w14:paraId="325F5C55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54" w:name="heading_18"/>
      <w:bookmarkStart w:id="55" w:name="_Toc14236"/>
      <w:bookmarkStart w:id="56" w:name="_Toc645"/>
      <w:r>
        <w:rPr>
          <w:lang w:val="en-US" w:eastAsia="zh-CN"/>
        </w:rPr>
        <w:t>3.2 必选文档清单及要求</w:t>
      </w:r>
      <w:bookmarkEnd w:id="54"/>
      <w:bookmarkEnd w:id="55"/>
      <w:bookmarkEnd w:id="56"/>
    </w:p>
    <w:p w14:paraId="6BACA1D3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57" w:name="heading_19"/>
      <w:bookmarkStart w:id="58" w:name="_Toc7369"/>
      <w:bookmarkStart w:id="59" w:name="_Toc13908"/>
      <w:r>
        <w:rPr>
          <w:lang w:val="en-US" w:eastAsia="zh-CN"/>
        </w:rPr>
        <w:t>3.2.1 AI选型评估文档</w:t>
      </w:r>
      <w:bookmarkEnd w:id="57"/>
      <w:bookmarkEnd w:id="58"/>
      <w:bookmarkEnd w:id="59"/>
    </w:p>
    <w:p w14:paraId="78204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00553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选型背景与需求：明确AI使用的业务场景、核心需求、预期目标；</w:t>
      </w:r>
    </w:p>
    <w:p w14:paraId="214BE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备选AI产品对比：包括产品功能、合规资质、可靠性、兼容性、成本等维度的对比分析；</w:t>
      </w:r>
    </w:p>
    <w:p w14:paraId="567DB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测试验证结果：备选AI产品的兼容性测试、性能测试、安全测试结果；</w:t>
      </w:r>
    </w:p>
    <w:p w14:paraId="63783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选型结论与审批：最终选定的AI产品及理由，审批流程及审批意见。</w:t>
      </w:r>
    </w:p>
    <w:p w14:paraId="79071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交付要求：选型完成后3个工作日内交付，由架构师编制，技术负责人审核。</w:t>
      </w:r>
    </w:p>
    <w:p w14:paraId="5409E738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60" w:name="heading_20"/>
      <w:bookmarkStart w:id="61" w:name="_Toc9343"/>
      <w:bookmarkStart w:id="62" w:name="_Toc10944"/>
      <w:r>
        <w:rPr>
          <w:lang w:val="en-US" w:eastAsia="zh-CN"/>
        </w:rPr>
        <w:t>3.2.2 AI接入设计文档</w:t>
      </w:r>
      <w:bookmarkEnd w:id="60"/>
      <w:bookmarkEnd w:id="61"/>
      <w:bookmarkEnd w:id="62"/>
    </w:p>
    <w:p w14:paraId="4793E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204F8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接入架构：AI服务与业务系统的对接架构图，接入层组件（网关、防火墙）的配置说明；</w:t>
      </w:r>
    </w:p>
    <w:p w14:paraId="31B22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接口规范：AI服务的API接口定义（含请求参数、响应格式、认证方式、加密规则）；</w:t>
      </w:r>
    </w:p>
    <w:p w14:paraId="6F53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限流熔断与降级策略：限流规则、熔断条件、降级逻辑及实现方式；</w:t>
      </w:r>
    </w:p>
    <w:p w14:paraId="5D8FE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安全配置：接入层的安全策略（如IP白名单、权限控制）、数据加密方案。</w:t>
      </w:r>
    </w:p>
    <w:p w14:paraId="14938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交付要求：接入设计完成后5个工作日内交付，由开发负责人编制，架构师审核。</w:t>
      </w:r>
    </w:p>
    <w:p w14:paraId="44DB7A0C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63" w:name="_Toc30486"/>
      <w:bookmarkStart w:id="64" w:name="heading_21"/>
      <w:bookmarkStart w:id="65" w:name="_Toc26269"/>
      <w:r>
        <w:rPr>
          <w:lang w:val="en-US" w:eastAsia="zh-CN"/>
        </w:rPr>
        <w:t>3.2.3 AI使用操作手册</w:t>
      </w:r>
      <w:bookmarkEnd w:id="63"/>
      <w:bookmarkEnd w:id="64"/>
      <w:bookmarkEnd w:id="65"/>
    </w:p>
    <w:p w14:paraId="5B449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4E44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使用范围：明确可使用AI的角色、场景及任务清单；</w:t>
      </w:r>
    </w:p>
    <w:p w14:paraId="5A81E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操作步骤：AI的调用流程、prompt编写规范、成果获取与复核流程；</w:t>
      </w:r>
    </w:p>
    <w:p w14:paraId="6429B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数据脱敏要求：输入数据的脱敏规则、脱敏方法及示例；</w:t>
      </w:r>
    </w:p>
    <w:p w14:paraId="2B973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常见问题处理：AI调用失败、输出异常等常见问题的排查方法及解决方案；</w:t>
      </w:r>
    </w:p>
    <w:p w14:paraId="5B253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设计阶段专项要求：明确AI辅助设计的权限分级标准、代码生成范围边界、成果复核流程。</w:t>
      </w:r>
    </w:p>
    <w:p w14:paraId="4C347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交付要求：AI接入完成后3个工作日内交付，由开发工程师编制，测试工程师审核。</w:t>
      </w:r>
    </w:p>
    <w:p w14:paraId="54F2CFE7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66" w:name="heading_22"/>
      <w:bookmarkStart w:id="67" w:name="_Toc21463"/>
      <w:bookmarkStart w:id="68" w:name="_Toc19861"/>
      <w:r>
        <w:rPr>
          <w:lang w:val="en-US" w:eastAsia="zh-CN"/>
        </w:rPr>
        <w:t>3.2.4 AI测试报告</w:t>
      </w:r>
      <w:bookmarkEnd w:id="66"/>
      <w:bookmarkEnd w:id="67"/>
      <w:bookmarkEnd w:id="68"/>
    </w:p>
    <w:p w14:paraId="62EB1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645D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测试概述：测试目的、范围、测试环境、测试用例设计思路；</w:t>
      </w:r>
    </w:p>
    <w:p w14:paraId="24619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测试结果：功能测试、性能测试、安全测试、兼容性测试的详细结果，包括通过用例数、失败用例数、缺陷明细；</w:t>
      </w:r>
    </w:p>
    <w:p w14:paraId="35871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风险评估：测试过程中发现的风险点及应对措施；</w:t>
      </w:r>
    </w:p>
    <w:p w14:paraId="49496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测试结论：AI是否符合上线要求，是否需要优化改进；</w:t>
      </w:r>
    </w:p>
    <w:p w14:paraId="09F82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设计阶段专项测试结果：AI生成代码的静态扫描结果、单元测试覆盖率数据、安全漏洞测试结果。</w:t>
      </w:r>
    </w:p>
    <w:p w14:paraId="5BAB8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交付要求：测试完成后3个工作日内交付，由测试工程师编制，开发负责人、质量负责人审核。</w:t>
      </w:r>
    </w:p>
    <w:p w14:paraId="2F31BE6C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69" w:name="heading_23"/>
      <w:bookmarkStart w:id="70" w:name="_Toc19187"/>
      <w:bookmarkStart w:id="71" w:name="_Toc22325"/>
      <w:r>
        <w:rPr>
          <w:lang w:val="en-US" w:eastAsia="zh-CN"/>
        </w:rPr>
        <w:t>3.2.5 AI部署与运维文档</w:t>
      </w:r>
      <w:bookmarkEnd w:id="69"/>
      <w:bookmarkEnd w:id="70"/>
      <w:bookmarkEnd w:id="71"/>
    </w:p>
    <w:p w14:paraId="1AEC0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44F68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部署方案：AI服务的部署架构、部署步骤、环境配置要求、依赖组件说明；</w:t>
      </w:r>
    </w:p>
    <w:p w14:paraId="6A539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监控配置：监控指标定义、告警阈值、告警接收人及通知方式；</w:t>
      </w:r>
    </w:p>
    <w:p w14:paraId="48375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应急方案：故障定位流程、常见故障处理步骤、回滚方案、责任人及联系方式；</w:t>
      </w:r>
    </w:p>
    <w:p w14:paraId="18755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日志管理：日志存储位置、日志格式、审计频率及审计方法；</w:t>
      </w:r>
    </w:p>
    <w:p w14:paraId="3D5B0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设计阶段运维专项：AI辅助设计相关日志的采集范围、审计重点、备份策略。</w:t>
      </w:r>
    </w:p>
    <w:p w14:paraId="2FD9F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交付要求：AI部署完成后3个工作日内交付，由运维工程师编制，运维负责人审核。</w:t>
      </w:r>
    </w:p>
    <w:p w14:paraId="63397619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72" w:name="heading_24"/>
      <w:bookmarkStart w:id="73" w:name="_Toc23734"/>
      <w:bookmarkStart w:id="74" w:name="_Toc5168"/>
      <w:r>
        <w:rPr>
          <w:lang w:val="en-US" w:eastAsia="zh-CN"/>
        </w:rPr>
        <w:t>3.2.6 AI使用审计报告</w:t>
      </w:r>
      <w:bookmarkEnd w:id="72"/>
      <w:bookmarkEnd w:id="73"/>
      <w:bookmarkEnd w:id="74"/>
    </w:p>
    <w:p w14:paraId="5F0E2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7535A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审计概述：审计周期、审计范围、审计方法；</w:t>
      </w:r>
    </w:p>
    <w:p w14:paraId="7A527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审计结果：AI使用日志的审核情况，是否存在违规使用行为、安全风险；</w:t>
      </w:r>
    </w:p>
    <w:p w14:paraId="72C6D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问题整改：发现的问题及整改措施、整改责任人、整改期限；</w:t>
      </w:r>
    </w:p>
    <w:p w14:paraId="095CD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审计结论：本次审计的总体评价及后续改进建议；</w:t>
      </w:r>
    </w:p>
    <w:p w14:paraId="2908C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设计阶段专项审计：AI辅助设计权限使用合规性、代码生成范围合规性、评审流程完整性的审计情况。</w:t>
      </w:r>
    </w:p>
    <w:p w14:paraId="6500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交付要求：每月结束后5个工作日内交付，由安全专员编制，技术负责人审核。</w:t>
      </w:r>
    </w:p>
    <w:p w14:paraId="006DCAB0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75" w:name="heading_25"/>
      <w:bookmarkStart w:id="76" w:name="_Toc9372"/>
      <w:bookmarkStart w:id="77" w:name="_Toc20316"/>
      <w:r>
        <w:rPr>
          <w:lang w:val="en-US" w:eastAsia="zh-CN"/>
        </w:rPr>
        <w:t>3.2.7 AI辅助架构设计说明书（通用模板）</w:t>
      </w:r>
      <w:bookmarkEnd w:id="75"/>
      <w:bookmarkEnd w:id="76"/>
      <w:bookmarkEnd w:id="77"/>
    </w:p>
    <w:p w14:paraId="1B2ED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核心内容（强制章节）：</w:t>
      </w:r>
    </w:p>
    <w:p w14:paraId="23922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项目基本信息：项目名称、版本、编制人、审核人、编制时间；</w:t>
      </w:r>
    </w:p>
    <w:p w14:paraId="09F9F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架构设计概述：设计目标、核心业务场景、技术选型依据；</w:t>
      </w:r>
    </w:p>
    <w:p w14:paraId="3531E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AI贡献标识章节：明确标注AI参与设计的模块/内容（含AI工具名称、使用时间、prompt指令摘要），区分AI生成原始内容与人工优化内容；</w:t>
      </w:r>
    </w:p>
    <w:p w14:paraId="7BD4D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设计决策溯源表：表格形式记录"AI建议内容→人工修改内容→修改理由→评审意见→最终决策"，每一项设计决策均需关联评审记录ID；</w:t>
      </w:r>
    </w:p>
    <w:p w14:paraId="75EBA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技术债务评估记录：对AI建议的技术债务评估过程、评分结果、风险应对措施；</w:t>
      </w:r>
    </w:p>
    <w:p w14:paraId="3556A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架构图及说明：含整体架构图、核心模块交互图（AI辅助绘制的需标注），明确各模块职责、接口定义。</w:t>
      </w:r>
    </w:p>
    <w:p w14:paraId="76F54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交付要求：架构设计阶段结束后5个工作日内交付，由架构师编制，技术负责人审核，纳入项目基线文档。</w:t>
      </w:r>
    </w:p>
    <w:p w14:paraId="16C18BA5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78" w:name="heading_26"/>
      <w:bookmarkStart w:id="79" w:name="_Toc28174"/>
      <w:bookmarkStart w:id="80" w:name="_Toc2165"/>
      <w:r>
        <w:rPr>
          <w:lang w:val="en-US" w:eastAsia="zh-CN"/>
        </w:rPr>
        <w:t>3.2.8 模块详细设计说明书（通用模板）</w:t>
      </w:r>
      <w:bookmarkEnd w:id="78"/>
      <w:bookmarkEnd w:id="79"/>
      <w:bookmarkEnd w:id="80"/>
    </w:p>
    <w:p w14:paraId="2589C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核心内容：</w:t>
      </w:r>
    </w:p>
    <w:p w14:paraId="3D3A4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模块基本信息：模块名称、所属系统、负责人、关联需求ID；</w:t>
      </w:r>
    </w:p>
    <w:p w14:paraId="64CE2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功能设计：详细功能点、输入输出参数、业务流程；</w:t>
      </w:r>
    </w:p>
    <w:p w14:paraId="6AE9C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AI生成内容标注：明确标注AI生成的类/方法（含类名、方法名、生成工具），附人工修改历史记录（修改时间、修改内容、修改理由）；</w:t>
      </w:r>
    </w:p>
    <w:p w14:paraId="12B87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数据设计：数据结构、数据库表设计（AI生成的需标注并审核）；</w:t>
      </w:r>
    </w:p>
    <w:p w14:paraId="2F63A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接口设计：内部接口、外部接口的定义及调用关系；</w:t>
      </w:r>
    </w:p>
    <w:p w14:paraId="44FC9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测试要点：核心测试场景、预期结果（AI生成测试用例的需标注并复核）。</w:t>
      </w:r>
    </w:p>
    <w:p w14:paraId="6EB15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交付要求：模块开发前3个工作日内交付，由开发工程师编制，开发负责人审核。</w:t>
      </w:r>
    </w:p>
    <w:p w14:paraId="24F86203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81" w:name="_Toc9273"/>
      <w:bookmarkStart w:id="82" w:name="heading_27"/>
      <w:bookmarkStart w:id="83" w:name="_Toc6784"/>
      <w:r>
        <w:rPr>
          <w:lang w:val="en-US" w:eastAsia="zh-CN"/>
        </w:rPr>
        <w:t>3.2.9 AI代码审查记录表</w:t>
      </w:r>
      <w:bookmarkEnd w:id="81"/>
      <w:bookmarkEnd w:id="82"/>
      <w:bookmarkEnd w:id="83"/>
    </w:p>
    <w:p w14:paraId="72594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核心内容（逐行审查必填）：</w:t>
      </w:r>
    </w:p>
    <w:p w14:paraId="78054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基础信息：项目名称、模块名称、代码版本、审查人、审查时间；</w:t>
      </w:r>
    </w:p>
    <w:p w14:paraId="4CE2E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AI生成信息：AI工具名称、生成代码范围（文件路径+行号）；</w:t>
      </w:r>
    </w:p>
    <w:p w14:paraId="3927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审查内容：按行记录代码内容、审查结果（通过/不通过）、问题描述（如有）、整改建议；</w:t>
      </w:r>
    </w:p>
    <w:p w14:paraId="03E70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质量校验记录：静态代码扫描结果、单元测试覆盖率数据、安全漏洞测试结果；</w:t>
      </w:r>
    </w:p>
    <w:p w14:paraId="65700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审查结论：是否同意提交、需整改的问题清单及整改期限。</w:t>
      </w:r>
    </w:p>
    <w:p w14:paraId="46946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交付要求：AI生成代码提交前完成，由审查人填写，随代码一并纳入版本管理系统。</w:t>
      </w:r>
    </w:p>
    <w:p w14:paraId="55848D0B">
      <w:pPr>
        <w:pStyle w:val="4"/>
        <w:bidi w:val="0"/>
        <w:ind w:left="0" w:leftChars="0" w:firstLine="0" w:firstLineChars="0"/>
        <w:rPr>
          <w:lang w:val="en-US" w:eastAsia="zh-CN"/>
        </w:rPr>
      </w:pPr>
      <w:bookmarkStart w:id="84" w:name="_Toc10338"/>
      <w:bookmarkStart w:id="85" w:name="heading_28"/>
      <w:bookmarkStart w:id="86" w:name="_Toc29896"/>
      <w:r>
        <w:rPr>
          <w:lang w:val="en-US" w:eastAsia="zh-CN"/>
        </w:rPr>
        <w:t>3.2.10 配套规范文档</w:t>
      </w:r>
      <w:bookmarkEnd w:id="84"/>
      <w:bookmarkEnd w:id="85"/>
      <w:bookmarkEnd w:id="86"/>
    </w:p>
    <w:p w14:paraId="1DA2A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《设计评审AI专项审查规范》：明确审查组织架构、审查流程、审查标准、缺陷分级定义，聚焦安全漏洞、逻辑缺陷、技术债务三大核心审查方向；</w:t>
      </w:r>
    </w:p>
    <w:p w14:paraId="6975C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《AI使用审计规范》：明确审计范围、审计频率、审计方法，规定所有AI辅助设计操作（含prompt输入、生成内容、修改过程、评审记录）均需留存完整审计日志，日志留存期限不少于2年；</w:t>
      </w:r>
    </w:p>
    <w:p w14:paraId="030DA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《UML图人工复核标准》：AI辅助绘制的UML图（用例图、类图、时序图等）需验证逻辑正确性、完整性、规范性，复核要点包括元素关系准确性、命名规范性、边界条件覆盖度，复核通过需签署复核意见。</w:t>
      </w:r>
    </w:p>
    <w:p w14:paraId="60A03366">
      <w:pPr>
        <w:pStyle w:val="2"/>
        <w:bidi w:val="0"/>
        <w:ind w:left="0" w:leftChars="0" w:firstLine="0" w:firstLineChars="0"/>
        <w:rPr>
          <w:lang w:val="en-US" w:eastAsia="zh-CN"/>
        </w:rPr>
      </w:pPr>
      <w:bookmarkStart w:id="87" w:name="_Toc1260"/>
      <w:bookmarkStart w:id="88" w:name="heading_35"/>
      <w:bookmarkStart w:id="89" w:name="_Toc7011"/>
      <w:r>
        <w:rPr>
          <w:lang w:val="en-US" w:eastAsia="zh-CN"/>
        </w:rPr>
        <w:t>4 附则</w:t>
      </w:r>
      <w:bookmarkEnd w:id="87"/>
      <w:bookmarkEnd w:id="88"/>
      <w:bookmarkEnd w:id="89"/>
    </w:p>
    <w:p w14:paraId="70F1CD15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90" w:name="_Toc14575"/>
      <w:bookmarkStart w:id="91" w:name="heading_36"/>
      <w:bookmarkStart w:id="92" w:name="_Toc4908"/>
      <w:r>
        <w:rPr>
          <w:lang w:val="en-US" w:eastAsia="zh-CN"/>
        </w:rPr>
        <w:t>4.1 规范落地与培训</w:t>
      </w:r>
      <w:bookmarkEnd w:id="90"/>
      <w:bookmarkEnd w:id="91"/>
      <w:bookmarkEnd w:id="92"/>
    </w:p>
    <w:p w14:paraId="5091B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本规范发布后，需组织全体开发相关人员进行专项培训，重点讲解AI辅助设计的技术标准、文档要求、评审流程；技术部门需指定专人负责规范的落地监督，每季度开展一次专项检查，确保设计阶段AI使用合规性。</w:t>
      </w:r>
    </w:p>
    <w:p w14:paraId="2C38FF4D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93" w:name="_Toc1087"/>
      <w:bookmarkStart w:id="94" w:name="heading_37"/>
      <w:bookmarkStart w:id="95" w:name="_Toc1332"/>
      <w:r>
        <w:rPr>
          <w:lang w:val="en-US" w:eastAsia="zh-CN"/>
        </w:rPr>
        <w:t>4.2 规范更新与修订</w:t>
      </w:r>
      <w:bookmarkEnd w:id="93"/>
      <w:bookmarkEnd w:id="94"/>
      <w:bookmarkEnd w:id="95"/>
    </w:p>
    <w:p w14:paraId="4F4DD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本规范根据法律法规更新、技术发展、业务需求变化每半年修订一次，修订流程需经过技术评审、全员公示后发布实施。</w:t>
      </w:r>
    </w:p>
    <w:p w14:paraId="3D3FF37C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96" w:name="heading_38"/>
      <w:bookmarkStart w:id="97" w:name="_Toc14841"/>
      <w:bookmarkStart w:id="98" w:name="_Toc3680"/>
      <w:r>
        <w:rPr>
          <w:lang w:val="en-US" w:eastAsia="zh-CN"/>
        </w:rPr>
        <w:t>4.3 责任追究</w:t>
      </w:r>
      <w:bookmarkEnd w:id="96"/>
      <w:bookmarkEnd w:id="97"/>
      <w:bookmarkEnd w:id="98"/>
    </w:p>
    <w:p w14:paraId="7E63D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对违反本规范的行为，将根据情节严重程度追究相关人员责任；因违反规范导致安全事件、业务损失的，将依法依规严肃处理。</w:t>
      </w:r>
    </w:p>
    <w:p w14:paraId="6528639C">
      <w:pPr>
        <w:pStyle w:val="3"/>
        <w:bidi w:val="0"/>
        <w:ind w:left="0" w:leftChars="0" w:firstLine="0" w:firstLineChars="0"/>
        <w:rPr>
          <w:lang w:val="en-US" w:eastAsia="zh-CN"/>
        </w:rPr>
      </w:pPr>
      <w:bookmarkStart w:id="99" w:name="_Toc10431"/>
      <w:bookmarkStart w:id="100" w:name="heading_39"/>
      <w:bookmarkStart w:id="101" w:name="_Toc21184"/>
      <w:r>
        <w:rPr>
          <w:lang w:val="en-US" w:eastAsia="zh-CN"/>
        </w:rPr>
        <w:t>4.4 生效日期</w:t>
      </w:r>
      <w:bookmarkEnd w:id="99"/>
      <w:bookmarkEnd w:id="100"/>
      <w:bookmarkEnd w:id="101"/>
    </w:p>
    <w:p w14:paraId="5A296ED9">
      <w:pPr>
        <w:spacing w:before="120" w:after="120" w:line="288" w:lineRule="auto"/>
        <w:ind w:left="0"/>
        <w:jc w:val="left"/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本规范自发布之日起生效。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17"/>
      </w:pPr>
      <w:r>
        <w:separator/>
      </w:r>
    </w:p>
  </w:endnote>
  <w:endnote w:type="continuationSeparator" w:id="1">
    <w:p>
      <w:pPr>
        <w:spacing w:line="240" w:lineRule="auto"/>
        <w:ind w:firstLine="41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DDFA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17"/>
      </w:pPr>
      <w:r>
        <w:separator/>
      </w:r>
    </w:p>
  </w:footnote>
  <w:footnote w:type="continuationSeparator" w:id="1">
    <w:p>
      <w:pPr>
        <w:spacing w:line="240" w:lineRule="auto"/>
        <w:ind w:firstLine="41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405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93442"/>
    <w:rsid w:val="47F37D01"/>
    <w:rsid w:val="79B261B2"/>
    <w:rsid w:val="7B5060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78" w:firstLineChars="199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after="50" w:afterLines="50" w:line="400" w:lineRule="exact"/>
      <w:outlineLvl w:val="0"/>
    </w:pPr>
    <w:rPr>
      <w:rFonts w:ascii="宋体" w:hAnsi="宋体"/>
      <w:b/>
      <w:kern w:val="44"/>
      <w:sz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="宋体" w:hAnsi="宋体"/>
      <w:b/>
      <w:sz w:val="28"/>
    </w:rPr>
  </w:style>
  <w:style w:type="paragraph" w:styleId="4">
    <w:name w:val="heading 3"/>
    <w:basedOn w:val="5"/>
    <w:next w:val="1"/>
    <w:unhideWhenUsed/>
    <w:qFormat/>
    <w:uiPriority w:val="0"/>
    <w:pPr>
      <w:spacing w:before="50" w:beforeLines="50" w:after="50" w:afterLines="50" w:line="400" w:lineRule="exact"/>
      <w:outlineLvl w:val="2"/>
    </w:pPr>
    <w:rPr>
      <w:rFonts w:hAnsi="宋体" w:eastAsia="宋体"/>
      <w:b/>
      <w:bCs/>
      <w:szCs w:val="20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customStyle="1" w:styleId="11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3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7172</Words>
  <Characters>7698</Characters>
  <TotalTime>5</TotalTime>
  <ScaleCrop>false</ScaleCrop>
  <LinksUpToDate>false</LinksUpToDate>
  <CharactersWithSpaces>7914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2026-01-13T02:57:00Z</dcterms:created>
  <dc:creator>Apache POI</dc:creator>
  <cp:lastModifiedBy>故人</cp:lastModifiedBy>
  <dcterms:modified xsi:type="dcterms:W3CDTF">2026-01-15T00:54:46Z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eyJoZGlkIjoiNWRhYmQ3NzYwNGUyMWU3MTQzZjAwNjllNDkxYjYxNGEiLCJ1c2VySWQiOiIxMTY3NjMyOTQ4In0=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769224FF024E46EEA4520E476F3A17EC_13</vt:lpwstr>
  </property>
</Properties>
</file>