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Generative AI Support Drafting Diffusion Report</w:t>
      </w:r>
    </w:p>
    <w:p>
      <w:pPr>
        <w:pStyle w:val="Subtitle"/>
      </w:pPr>
      <w:r>
        <w:t>Emerging Technology Diffusion Agent version 1.0  |  27 October 2026</w:t>
      </w:r>
    </w:p>
    <w:p>
      <w:r>
        <w:t>This report assesses diffusion and timing for a hypothetical US software firm considering human-reviewed support drafts. It supports structured learning now, while abstaining on a precise application or matched-peer diffusion stage. Company details are assumptions. This report renders the saved primary JSON response; the Adoption Agent retains the full adoption decision.</w:t>
      </w:r>
    </w:p>
    <w:p>
      <w:pPr>
        <w:pStyle w:val="Heading1"/>
      </w:pPr>
      <w:r>
        <w:t>General technology diffusion</w:t>
      </w:r>
    </w:p>
    <w:p>
      <w:r>
        <w:t>Generative AI has moved beyond innovators and early adopters into broad workplace use in the United States. Early-majority participation is a qualitative interpretation, not a measured Rogers category or proof of universal organizational maturity. The social system here is US employed adults aged 18–64; the measure is self-reported use for work, not firm deployment. RPS/FRED reports 40.55% in Q3 2026 versus 45.20% in Q2 and 37.36% a year earlier (S2). The latest decline contradicts uninterrupted-growth language; sampling uncertainty was not evaluated. Innovators experiment with novel configurations, early adopters provide reference cases, early-majority users seek demonstrated usefulness, late-majority users seek established practice, and laggards defer until necessity. No surveyed individual or firm is assigned to these categories from the aggregate rate alone.</w:t>
      </w:r>
    </w:p>
    <w:p>
      <w:pPr>
        <w:pStyle w:val="Heading1"/>
      </w:pPr>
      <w:r>
        <w:t>Application and peer diffusion</w:t>
      </w:r>
    </w:p>
    <w:p>
      <w:r>
        <w:t>Human-reviewed software support drafting has demonstrated operational use, but its diffusion stage among US B2B software firms with 100–249 employees is undetermined. Relative advantage: favorable signal from the assistant study (S4), with uncertain transfer to local ticket mix. Compatibility: favorable under the case assumption of a curated knowledge base and existing human send authority; actual workflow fit is untested. Complexity: inhibits spread through retrieval quality, access controls, integration and evaluation work; this is analytical inference. Trialability: favorable because drafts can be assessed offline and tested reversibly with human review; local feasibility remains untested. Observability: potentially favorable through visible editing, resolution time and audited correctness, but benefits must be measured net of review time. Information-sector and size-class AI rates (S3) do not identify generative AI support penetration or this joint peer group. Industry and application stages are therefore qualified rather than assigned early majority.</w:t>
      </w:r>
    </w:p>
    <w:p>
      <w:pPr>
        <w:pStyle w:val="Heading1"/>
      </w:pPr>
      <w:r>
        <w:t>Organization and diffusion forces</w:t>
      </w:r>
    </w:p>
    <w:p>
      <w:r>
        <w:t>The hypothetical firm behaves as a fast follower, provisionally analogous to early-majority preferences for demonstrated usefulness. Its actual adopter category relative to peers is unknown because adoption dates and matched-peer data are absent. Human review and a knowledge base make structured learning plausible now, while limited engineering and evaluation capacity constrain pace. This posture changes the evidence threshold and timing, not the technology stage. Candidate change agents are the support manager and integration engineer; respected experienced support representatives could be opinion leaders, but their influence has not been observed. Software tooling and reusable guidance can ease experimentation; reliable documentation, access controls and evaluation skills are complementary assets. These mechanisms are hypotheses from the case. NIST guidance (S5) can structure shared expectations; no standard here proves readiness or market uptake.</w:t>
      </w:r>
    </w:p>
    <w:p>
      <w:pPr>
        <w:pStyle w:val="Heading1"/>
      </w:pPr>
      <w:r>
        <w:t>Confidence</w:t>
      </w:r>
    </w:p>
    <w:p>
      <w:r>
        <w:t>Moderate confidence that general workplace use extends beyond pioneers; low confidence in a precise Rogers stage and no defensible measured category for the target peer group. Moderate confidence in the direction of the five application mechanisms; low confidence in local effect sizes. Timing advice is conditional on assumed capabilities.</w:t>
      </w:r>
    </w:p>
    <w:p>
      <w:pPr>
        <w:pStyle w:val="Heading1"/>
      </w:pPr>
      <w:r>
        <w:t>Value implication</w:t>
      </w:r>
    </w:p>
    <w:p>
      <w:r>
        <w:t>Observed assistant benefits justify investigating whether drafting time and novice learning improve locally. Do not promise the study average or treat it as an ROI estimate.</w:t>
      </w:r>
    </w:p>
    <w:p>
      <w:pPr>
        <w:pStyle w:val="Heading1"/>
      </w:pPr>
      <w:r>
        <w:t>Governance implication</w:t>
      </w:r>
    </w:p>
    <w:p>
      <w:r>
        <w:t>Knowledge quality, privacy and review capacity are the principal inferred inhibitors. Human send authority makes errors more containable but does not remove them. Apply appropriate evaluation and governance guidance (S5); the Adoption Agent must judge implementation feasibility and acceptable risk.</w:t>
      </w:r>
    </w:p>
    <w:p>
      <w:pPr>
        <w:pStyle w:val="Heading1"/>
      </w:pPr>
      <w:r>
        <w:t>Timing implication</w:t>
      </w:r>
    </w:p>
    <w:p>
      <w:r>
        <w:t>For the next six months, begin evidence gathering now: establish a baseline and use de-identified historical tickets for an offline drafting assessment during the first month. If evaluation capacity and confidentiality controls are demonstrated, ask the Adoption Agent to assess a small human-reviewed trial during months two and three. Review the evidence at month three before considering expansion; reserve months four to six for evidence-led learning. Diffusion does not itself justify rollout.</w:t>
      </w:r>
    </w:p>
    <w:p>
      <w:pPr>
        <w:pStyle w:val="Heading1"/>
      </w:pPr>
      <w:r>
        <w:t>Contrary evidence and limits</w:t>
      </w:r>
    </w:p>
    <w:p>
      <w:pPr>
        <w:pStyle w:val="ListBullet"/>
      </w:pPr>
      <w:r>
        <w:t>No matched-peer, support-specific, current production-use denominator or longitudinal adoption dates were found.</w:t>
      </w:r>
    </w:p>
    <w:p>
      <w:pPr>
        <w:pStyle w:val="ListBullet"/>
      </w:pPr>
      <w:r>
        <w:t>Worker-use rates cannot establish firm rollout or autonomous support penetration. The latest quarterly worker estimate decreased.</w:t>
      </w:r>
    </w:p>
    <w:p>
      <w:pPr>
        <w:pStyle w:val="ListBullet"/>
      </w:pPr>
      <w:r>
        <w:t>S3 measures broader AI and is older than available October releases. Separate sector and size rates cannot be combined into a joint peer rate.</w:t>
      </w:r>
    </w:p>
    <w:p>
      <w:pPr>
        <w:pStyle w:val="ListBullet"/>
      </w:pPr>
      <w:r>
        <w:t>S4 is one older assisted-work deployment; indexed abstract verification is limited and does not establish diffusion or autonomous reliability.</w:t>
      </w:r>
    </w:p>
    <w:p>
      <w:pPr>
        <w:pStyle w:val="ListBullet"/>
      </w:pPr>
      <w:r>
        <w:t>All company details and change-agent roles are hypothetical. No interviews or actual operational measurements were performed.</w:t>
      </w:r>
    </w:p>
    <w:p>
      <w:pPr>
        <w:pStyle w:val="Heading1"/>
      </w:pPr>
      <w:r>
        <w:t>Monitoring triggers</w:t>
      </w:r>
    </w:p>
    <w:p>
      <w:pPr>
        <w:pStyle w:val="ListBullet"/>
      </w:pPr>
      <w:r>
        <w:t>Monthly: refresh the RPS/FRED series and examine direction without asserting statistical significance from point estimates alone.</w:t>
      </w:r>
    </w:p>
    <w:p>
      <w:pPr>
        <w:pStyle w:val="ListBullet"/>
      </w:pPr>
      <w:r>
        <w:t>Within one month: obtain recent matched-peer evidence reporting denominator, production versus pilot status, human review, firm size and geography.</w:t>
      </w:r>
    </w:p>
    <w:p>
      <w:pPr>
        <w:pStyle w:val="ListBullet"/>
      </w:pPr>
      <w:r>
        <w:t>Before a live trial: establish representative baseline metrics for time per ticket, audited correctness, reopen rate and customer satisfaction; require baseline-equivalent quality and lower total handling time including review. These are proposed criteria, not observed results.</w:t>
      </w:r>
    </w:p>
    <w:p>
      <w:pPr>
        <w:pStyle w:val="ListBullet"/>
      </w:pPr>
      <w:r>
        <w:t>At month three: reassess if documentation quality, evaluation staffing or data-handling controls remain inadequate; return to offline work if a material privacy event or customer-harming error appears.</w:t>
      </w:r>
    </w:p>
    <w:p>
      <w:pPr>
        <w:pStyle w:val="Heading1"/>
      </w:pPr>
      <w:r>
        <w:t>Abstentions and evidence needed</w:t>
      </w:r>
    </w:p>
    <w:p>
      <w:pPr>
        <w:pStyle w:val="ListBullet"/>
      </w:pPr>
      <w:r>
        <w:t>Abstain on the claim that most comparable software firms use generative AI support drafting, or that this application is early majority. Require a recent representative survey of US B2B software firms with 100–249 employees, a stated sample and denominator, uncertainty estimates and separate pilot/production and assisted/autonomous measures.</w:t>
      </w:r>
    </w:p>
    <w:p>
      <w:pPr>
        <w:pStyle w:val="ListBullet"/>
      </w:pPr>
      <w:r>
        <w:t>Do not classify the focal firm as ahead of or behind peers without verified peer adoption dates and comparable use definitions.</w:t>
      </w:r>
    </w:p>
    <w:p>
      <w:pPr>
        <w:pStyle w:val="ListBullet"/>
      </w:pPr>
      <w:r>
        <w:t>Do not infer autonomous diffusion, safety or a full adoption recommendation from assisted-work evidence.</w:t>
      </w:r>
    </w:p>
    <w:p>
      <w:pPr>
        <w:pStyle w:val="Heading1"/>
      </w:pPr>
      <w:r>
        <w:t>Source references</w:t>
      </w:r>
    </w:p>
    <w:p>
      <w:r>
        <w:rPr>
          <w:b/>
        </w:rPr>
        <w:t>S1 Rogers (2003), fifth edition; publisher author excerpt: https://www.simonandschuster.com/books/Diffusion-of-Innovations-5th-Edition/Everett-M-Rogers/9780743222099</w:t>
      </w:r>
    </w:p>
    <w:p>
      <w:r>
        <w:t>2003 framework; checked 27 October 2026. Rogers provides adopter categories and the five perceived attributes, not a fixed maturity score. Five attributes cross-checked against publisher excerpt of fourth edition; framework does not supply current AI stage.</w:t>
      </w:r>
    </w:p>
    <w:p>
      <w:r>
        <w:rPr>
          <w:b/>
        </w:rPr>
        <w:t>S2 Bick, Blandin and Deming, RPS via FRED: https://fred.stlouisfed.org/series/RPSGENAIUSAGESHAREWORK</w:t>
      </w:r>
    </w:p>
    <w:p>
      <w:r>
        <w:t>Q3 2026; updated 20 October 2026; checked 27 October. US employed-adult generative AI work use was 40.54550% in Q3 2026, down from 45.19932% in Q2. US employed adults 18–64, quarterly self-report, not seasonally adjusted; neither firms nor application penetration.</w:t>
      </w:r>
    </w:p>
    <w:p>
      <w:r>
        <w:rPr>
          <w:b/>
        </w:rPr>
        <w:t>S3 US Census Bureau, 26 May 2026: https://www.census.gov/library/stories/2026/05/ai-use-businesses.html</w:t>
      </w:r>
    </w:p>
    <w:p>
      <w:r>
        <w:t>Period ending 3 May 2026; checked 27 October 2026. May Census AI rates are broad AI context, not a support-specific denominator. 32% for 100–249 employees and 39.7% for Information are separate groups. Any AI in any business function. Newer October downloads not analyzed.</w:t>
      </w:r>
    </w:p>
    <w:p>
      <w:r>
        <w:rPr>
          <w:b/>
        </w:rPr>
        <w:t>S4 Brynjolfsson, Li and Raymond (2023), Generative AI at Work: https://www.nber.org/papers/w31161 ; https://www.gsb.stanford.edu/faculty-research/working-papers/generative-ai-work</w:t>
      </w:r>
    </w:p>
    <w:p>
      <w:r>
        <w:t>November 2023 working-paper abstract; checked 27 October 2026. One support-assistant deployment reported higher issues resolved per hour. 5,179 agents; 14% mean improvement in that version. Direct pages returned 403. No prevalence, autonomous safety or local ROI inference.</w:t>
      </w:r>
    </w:p>
    <w:p>
      <w:r>
        <w:rPr>
          <w:b/>
        </w:rPr>
        <w:t>S5 Autio et al. (2024), NIST AI 600-1: https://doi.org/10.6028/NIST.AI.600-1</w:t>
      </w:r>
    </w:p>
    <w:p>
      <w:r>
        <w:t>26 July 2024; publication page checked 27 October 2026. NIST offers voluntary generative AI risk guidance. Governance resource, not certification or evidence of adoption.</w:t>
      </w:r>
    </w:p>
    <w:sectPr w:rsidR="00FC693F" w:rsidRPr="0006063C" w:rsidSect="00034616">
      <w:footerReference w:type="default" r:id="rId9"/>
      <w:head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MASY1800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Zonghan Yang | NetID zy3609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Zonghan Yang</dc:creator>
  <cp:keywords/>
  <dc:description>generated by python-docx</dc:description>
  <cp:lastModifiedBy>Zonghan Yang</cp:lastModifiedBy>
  <cp:revision>1</cp:revision>
  <dcterms:created xsi:type="dcterms:W3CDTF">2013-12-23T23:15:00Z</dcterms:created>
  <dcterms:modified xsi:type="dcterms:W3CDTF">2013-12-23T23:15:00Z</dcterms:modified>
  <cp:category/>
</cp:coreProperties>
</file>