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Craft Gained</w:t>
      </w:r>
    </w:p>
    <w:p>
      <w:pPr>
        <w:pStyle w:val="Subtitle"/>
      </w:pPr>
      <w:r>
        <w:t>Proposed reflection for student confirmation</w:t>
      </w:r>
    </w:p>
    <w:p>
      <w:r>
        <w:t>A sector’s AI-use percentage cannot establish the diffusion stage of a specific application. The source check showed that Census measures broader AI use, while the support study measures performance in one deployment. The contrast tests also showed how organizational posture can change timing while the underlying diffusion evidence stays fixed. Next time, I will define the adopter unit, application and production-use threshold before assigning a stage, and I will test posture separately from application risk. This makes abstention on an unsupported peer-stage claim a useful analytical result.</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MASY1800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Zonghan Yang | NetID zy3609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Zonghan Yang</dc:creator>
  <cp:keywords/>
  <dc:description>generated by python-docx</dc:description>
  <cp:lastModifiedBy>Zonghan Yang</cp:lastModifiedBy>
  <cp:revision>1</cp:revision>
  <dcterms:created xsi:type="dcterms:W3CDTF">2013-12-23T23:15:00Z</dcterms:created>
  <dcterms:modified xsi:type="dcterms:W3CDTF">2013-12-23T23:15:00Z</dcterms:modified>
  <cp:category/>
</cp:coreProperties>
</file>