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Phụ lục đánh giá — Định nghĩa và nguyên tắc đọc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E7E6E6" w:val="clear"/>
            <w:tcMar>
              <w:top w:type="dxa" w:w="80"/>
              <w:left w:type="dxa" w:w="100"/>
              <w:bottom w:type="dxa" w:w="80"/>
              <w:right w:type="dxa" w:w="100"/>
            </w:tcMar>
            <w:vAlign w:val="top"/>
          </w:tcPr>
          <w:p>
            <w:r>
              <w:rPr>
                <w:b/>
                <w:bCs/>
              </w:rPr>
              <w:t xml:space="preserve">Thuộc tính</w:t>
            </w:r>
          </w:p>
        </w:tc>
        <w:tc>
          <w:tcPr>
            <w:tcW w:type="dxa" w:w="6826"/>
            <w:shd w:fill="E7E6E6" w:val="clear"/>
            <w:tcMar>
              <w:top w:type="dxa" w:w="80"/>
              <w:left w:type="dxa" w:w="100"/>
              <w:bottom w:type="dxa" w:w="80"/>
              <w:right w:type="dxa" w:w="100"/>
            </w:tcMar>
            <w:vAlign w:val="top"/>
          </w:tcPr>
          <w:p>
            <w:r>
              <w:rPr>
                <w:b/>
                <w:bCs/>
              </w:rPr>
              <w:t xml:space="preserve">Giá trị</w:t>
            </w:r>
          </w:p>
        </w:tc>
      </w:tr>
      <w:tr>
        <w:tc>
          <w:tcPr>
            <w:tcW w:type="dxa" w:w="2200"/>
            <w:tcMar>
              <w:top w:type="dxa" w:w="80"/>
              <w:left w:type="dxa" w:w="100"/>
              <w:bottom w:type="dxa" w:w="80"/>
              <w:right w:type="dxa" w:w="100"/>
            </w:tcMar>
            <w:vAlign w:val="top"/>
          </w:tcPr>
          <w:p>
            <w:r>
              <w:rPr>
                <w:b w:val="false"/>
                <w:bCs w:val="false"/>
              </w:rPr>
              <w:t xml:space="preserve">Phiên bản</w:t>
            </w:r>
          </w:p>
        </w:tc>
        <w:tc>
          <w:tcPr>
            <w:tcW w:type="dxa" w:w="6826"/>
            <w:tcMar>
              <w:top w:type="dxa" w:w="80"/>
              <w:left w:type="dxa" w:w="100"/>
              <w:bottom w:type="dxa" w:w="80"/>
              <w:right w:type="dxa" w:w="100"/>
            </w:tcMar>
            <w:vAlign w:val="top"/>
          </w:tcPr>
          <w:p>
            <w:r>
              <w:rPr>
                <w:b w:val="false"/>
                <w:bCs w:val="false"/>
              </w:rPr>
              <w:t xml:space="preserve">2.0</w:t>
            </w:r>
          </w:p>
        </w:tc>
      </w:tr>
      <w:tr>
        <w:tc>
          <w:tcPr>
            <w:tcW w:type="dxa" w:w="2200"/>
            <w:tcMar>
              <w:top w:type="dxa" w:w="80"/>
              <w:left w:type="dxa" w:w="100"/>
              <w:bottom w:type="dxa" w:w="80"/>
              <w:right w:type="dxa" w:w="100"/>
            </w:tcMar>
            <w:vAlign w:val="top"/>
          </w:tcPr>
          <w:p>
            <w:r>
              <w:rPr>
                <w:b w:val="false"/>
                <w:bCs w:val="false"/>
              </w:rPr>
              <w:t xml:space="preserve">Cập nhật</w:t>
            </w:r>
          </w:p>
        </w:tc>
        <w:tc>
          <w:tcPr>
            <w:tcW w:type="dxa" w:w="6826"/>
            <w:tcMar>
              <w:top w:type="dxa" w:w="80"/>
              <w:left w:type="dxa" w:w="100"/>
              <w:bottom w:type="dxa" w:w="80"/>
              <w:right w:type="dxa" w:w="100"/>
            </w:tcMar>
            <w:vAlign w:val="top"/>
          </w:tcPr>
          <w:p>
            <w:r>
              <w:rPr>
                <w:b w:val="false"/>
                <w:bCs w:val="false"/>
              </w:rPr>
              <w:t xml:space="preserve">2026-08-10</w:t>
            </w:r>
          </w:p>
        </w:tc>
      </w:tr>
      <w:tr>
        <w:tc>
          <w:tcPr>
            <w:tcW w:type="dxa" w:w="2200"/>
            <w:tcMar>
              <w:top w:type="dxa" w:w="80"/>
              <w:left w:type="dxa" w:w="100"/>
              <w:bottom w:type="dxa" w:w="80"/>
              <w:right w:type="dxa" w:w="100"/>
            </w:tcMar>
            <w:vAlign w:val="top"/>
          </w:tcPr>
          <w:p>
            <w:r>
              <w:rPr>
                <w:b w:val="false"/>
                <w:bCs w:val="false"/>
              </w:rPr>
              <w:t xml:space="preserve">Mục đích</w:t>
            </w:r>
          </w:p>
        </w:tc>
        <w:tc>
          <w:tcPr>
            <w:tcW w:type="dxa" w:w="6826"/>
            <w:tcMar>
              <w:top w:type="dxa" w:w="80"/>
              <w:left w:type="dxa" w:w="100"/>
              <w:bottom w:type="dxa" w:w="80"/>
              <w:right w:type="dxa" w:w="100"/>
            </w:tcMar>
            <w:vAlign w:val="top"/>
          </w:tcPr>
          <w:p>
            <w:r>
              <w:rPr>
                <w:b w:val="false"/>
                <w:bCs w:val="false"/>
              </w:rPr>
              <w:t xml:space="preserve">Định nghĩa thống nhất các thuật ngữ và nguyên tắc đọc dùng khi đánh giá năng lực V-ID-eKYC đối chiếu với yêu cầu rút ra từ đặc tả eyePass, nhằm giảm sai lệch khi các bên liên quan diễn giải kết quả đánh giá.</w:t>
            </w:r>
          </w:p>
        </w:tc>
      </w:tr>
      <w:tr>
        <w:tc>
          <w:tcPr>
            <w:tcW w:type="dxa" w:w="2200"/>
            <w:tcMar>
              <w:top w:type="dxa" w:w="80"/>
              <w:left w:type="dxa" w:w="100"/>
              <w:bottom w:type="dxa" w:w="80"/>
              <w:right w:type="dxa" w:w="100"/>
            </w:tcMar>
            <w:vAlign w:val="top"/>
          </w:tcPr>
          <w:p>
            <w:r>
              <w:rPr>
                <w:b w:val="false"/>
                <w:bCs w:val="false"/>
              </w:rPr>
              <w:t xml:space="preserve">Áp dụng cho</w:t>
            </w:r>
          </w:p>
        </w:tc>
        <w:tc>
          <w:tcPr>
            <w:tcW w:type="dxa" w:w="6826"/>
            <w:tcMar>
              <w:top w:type="dxa" w:w="80"/>
              <w:left w:type="dxa" w:w="100"/>
              <w:bottom w:type="dxa" w:w="80"/>
              <w:right w:type="dxa" w:w="100"/>
            </w:tcMar>
            <w:vAlign w:val="top"/>
          </w:tcPr>
          <w:p>
            <w:r>
              <w:rPr>
                <w:b w:val="false"/>
                <w:bCs w:val="false"/>
              </w:rPr>
              <w:t xml:space="preserve">Mọi bên đọc kết quả đánh giá năng lực V-ID-eKYC theo mô hình được định nghĩa trong tài liệu này.</w:t>
            </w:r>
          </w:p>
        </w:tc>
      </w:tr>
    </w:tbl>
    <w:p>
      <w:pPr>
        <w:spacing w:after="200"/>
      </w:pPr>
    </w:p>
    <w:p>
      <w:pPr>
        <w:pStyle w:val="Heading1"/>
        <w:spacing w:after="160" w:before="320"/>
      </w:pPr>
      <w:r>
        <w:t xml:space="preserve">1. Mục đích và phạm vi</w:t>
      </w:r>
    </w:p>
    <w:p>
      <w:pPr>
        <w:spacing w:after="160"/>
      </w:pPr>
      <w:r>
        <w:rPr>
          <w:b w:val="false"/>
          <w:bCs w:val="false"/>
          <w:i w:val="false"/>
          <w:iCs w:val="false"/>
        </w:rPr>
        <w:t xml:space="preserve">Tài liệu này quy định cách đọc và diễn giải các ký hiệu dùng khi đánh giá năng lực V-ID-eKYC. Đây là một đánh giá một chiều: V-ID-eKYC là đối tượng duy nhất được chấm năng lực (capability maturity); eyePass — một sản phẩm eKYC đã được xây dựng và vận hành trước đây — chỉ đóng vai trò nguồn yêu cầu/đặc tả tham chiếu, dùng để rút ra checklist năng lực cần đối chiếu cho V-ID.</w:t>
      </w:r>
    </w:p>
    <w:p>
      <w:pPr>
        <w:spacing w:after="160"/>
      </w:pPr>
      <w:r>
        <w:rPr>
          <w:b w:val="false"/>
          <w:bCs w:val="false"/>
          <w:i w:val="false"/>
          <w:iCs w:val="false"/>
        </w:rPr>
        <w:t xml:space="preserve">Người đánh giá chỉ tiếp cận được tài liệu bàn giao của eyePass (BRD, business rules, flow diagram, kiến trúc, API/SDK doc, checklist UAT/handover) — không có quyền truy cập source code, test, database hay runtime của eyePass. Vì giới hạn này, eyePass không được chấm năng lực (maturity) hay độ tin cậy bằng chứng (confidence) như một hệ thống — nó chỉ được ghi nhận theo mức độ đặc tả bàn giao nêu rõ một yêu cầu tới đâu (§4). Đây là giới hạn về khả năng kiểm chứng của người đánh giá, không phải nhận định rằng eyePass “không thật” hay “yếu”.</w:t>
      </w:r>
    </w:p>
    <w:p>
      <w:pPr>
        <w:spacing w:after="160"/>
      </w:pPr>
      <w:r>
        <w:rPr>
          <w:b w:val="false"/>
          <w:bCs w:val="false"/>
          <w:i w:val="false"/>
          <w:iCs w:val="false"/>
        </w:rPr>
        <w:t xml:space="preserve">V-ID-eKYC hiện đang ở giai đoạn technical demo — chưa MVP feature-complete, chưa production. Nhiều capability chỉ ở mức thiết kế hoặc chủ động để mở (TBD), theo đúng kỷ luật quản trị của dự án.</w:t>
      </w:r>
    </w:p>
    <w:p>
      <w:pPr>
        <w:spacing w:after="160"/>
      </w:pPr>
      <w:r>
        <w:rPr>
          <w:b w:val="false"/>
          <w:bCs w:val="false"/>
          <w:i w:val="false"/>
          <w:iCs w:val="false"/>
        </w:rPr>
        <w:t xml:space="preserve">Vì cả hai giới hạn trên, tài liệu và mọi kết quả đánh giá đi kèm không công bố “hệ thống nào tốt hơn” ở cấp tổng thể. Đầu ra hợp lệ duy nhất là: với từng yêu cầu/năng lực rút ra từ đặc tả eyePass, V-ID-eKYC đang đáp ứng, vượt, thiếu, hay chủ động không kế thừa yêu cầu đó — kèm evidence và mức tin cậy cho từng nhận định.</w:t>
      </w:r>
    </w:p>
    <w:p>
      <w:pPr>
        <w:spacing w:after="160"/>
      </w:pPr>
      <w:r>
        <w:rPr>
          <w:b w:val="false"/>
          <w:bCs w:val="false"/>
          <w:i w:val="false"/>
          <w:iCs w:val="false"/>
        </w:rPr>
        <w:t xml:space="preserve">Đánh giá này không phải chứng nhận chất lượng model, compliance, pilot hay production-readiness. Không suy luận rằng một capability đã tồn tại chỉ vì nó được nêu trong tài liệu; không suy luận rằng model chạy được trong technical demo đã được phê duyệt cho production.</w:t>
      </w:r>
    </w:p>
    <w:p>
      <w:pPr>
        <w:pStyle w:val="Heading1"/>
        <w:spacing w:after="160" w:before="320"/>
      </w:pPr>
      <w:r>
        <w:t xml:space="preserve">2. Nguyên tắc đọc</w:t>
      </w:r>
    </w:p>
    <w:p>
      <w:pPr>
        <w:spacing w:after="100"/>
      </w:pPr>
      <w:r>
        <w:t xml:space="preserve">1. Mỗi tiêu chí V-ID được đánh giá theo hai trục độc lập: mức độ năng lực đã đạt được (capability maturity, §3) và mức độ tin cậy của bằng chứng dùng để đánh giá (evidence confidence, §5). Hai trục này không được gộp hoặc quy đổi thành một chỉ số duy nhất, và không dùng mã chữ+số (kiểu L0–L4) để tránh bị đọc như một điểm số định lượng trên thang 0–4.</w:t>
      </w:r>
    </w:p>
    <w:p>
      <w:pPr>
        <w:spacing w:after="100"/>
      </w:pPr>
      <w:r>
        <w:t xml:space="preserve">2. eyePass không được chấm trên trục maturity/confidence của V-ID. eyePass chỉ có một trục riêng: mức độ đặc tả nêu rõ yêu cầu (§4) — Không đề cập / Nêu chưa đầy đủ / Nêu rõ. Không đọc trục này như một “maturity thấp” của eyePass; nó chỉ mô tả độ rõ của tài liệu, không mô tả năng lực thực tế của eyePass.</w:t>
      </w:r>
    </w:p>
    <w:p>
      <w:pPr>
        <w:spacing w:after="100"/>
      </w:pPr>
      <w:r>
        <w:t xml:space="preserve">3. Mức confidence thấp không đồng nghĩa với maturity thấp — đây là hai đại lượng đo hai việc khác nhau: một việc đo năng lực thực tế của V-ID, một việc đo khả năng của người đánh giá trong việc kiểm chứng năng lực đó.</w:t>
      </w:r>
    </w:p>
    <w:p>
      <w:pPr>
        <w:spacing w:after="100"/>
      </w:pPr>
      <w:r>
        <w:t xml:space="preserve">4. Trạng thái “chủ động chưa quyết định” (DEFERRED_BY_DESIGN) và “thiếu sót chưa có lý do” (GAP) phải được phân biệt rõ ràng trong mọi báo cáo tổng hợp, không được cộng gộp thành một con số.</w:t>
      </w:r>
    </w:p>
    <w:p>
      <w:pPr>
        <w:spacing w:after="100"/>
      </w:pPr>
      <w:r>
        <w:t xml:space="preserve">5. Không được kết luận “V-ID tốt hơn/kém eyePass” ở cấp hệ thống. Kết luận chỉ hợp lệ ở cấp từng yêu cầu: eyePass nêu yêu cầu rõ tới đâu, V-ID đạt maturity/confidence nào cho yêu cầu đó, và giới hạn evidence đi kèm.</w:t>
      </w:r>
    </w:p>
    <w:p>
      <w:pPr>
        <w:spacing w:after="100"/>
      </w:pPr>
      <w:r>
        <w:t xml:space="preserve">6. Không có domain score hay điểm tổng hợp nào để quy đổi — mỗi tiêu chí đứng độc lập. Một tiêu chí ở mức Absent/GAP với ưu tiên P0 không được xem là đã được xử lý chỉ vì các tiêu chí khác trong cùng domain đạt maturity cao.</w:t>
      </w:r>
    </w:p>
    <w:p>
      <w:pPr>
        <w:pStyle w:val="Heading1"/>
        <w:spacing w:after="160" w:before="320"/>
      </w:pPr>
      <w:r>
        <w:t xml:space="preserve">3. Capability maturity (chỉ áp dụng cho V-ID)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E7E6E6" w:val="clear"/>
            <w:tcMar>
              <w:top w:type="dxa" w:w="80"/>
              <w:left w:type="dxa" w:w="100"/>
              <w:bottom w:type="dxa" w:w="80"/>
              <w:right w:type="dxa" w:w="100"/>
            </w:tcMar>
            <w:vAlign w:val="top"/>
          </w:tcPr>
          <w:p>
            <w:r>
              <w:rPr>
                <w:b/>
                <w:bCs/>
              </w:rPr>
              <w:t xml:space="preserve">Từ ngữ</w:t>
            </w:r>
          </w:p>
        </w:tc>
        <w:tc>
          <w:tcPr>
            <w:tcW w:type="dxa" w:w="7226"/>
            <w:shd w:fill="E7E6E6" w:val="clear"/>
            <w:tcMar>
              <w:top w:type="dxa" w:w="80"/>
              <w:left w:type="dxa" w:w="100"/>
              <w:bottom w:type="dxa" w:w="80"/>
              <w:right w:type="dxa" w:w="100"/>
            </w:tcMar>
            <w:vAlign w:val="top"/>
          </w:tcPr>
          <w:p>
            <w:r>
              <w:rPr>
                <w:b/>
                <w:bCs/>
              </w:rPr>
              <w:t xml:space="preserve">Định nghĩa</w:t>
            </w:r>
          </w:p>
        </w:tc>
      </w:tr>
      <w:tr>
        <w:tc>
          <w:tcPr>
            <w:tcW w:type="dxa" w:w="1800"/>
            <w:tcMar>
              <w:top w:type="dxa" w:w="80"/>
              <w:left w:type="dxa" w:w="100"/>
              <w:bottom w:type="dxa" w:w="80"/>
              <w:right w:type="dxa" w:w="100"/>
            </w:tcMar>
            <w:vAlign w:val="top"/>
          </w:tcPr>
          <w:p>
            <w:r>
              <w:rPr>
                <w:b w:val="false"/>
                <w:bCs w:val="false"/>
              </w:rPr>
              <w:t xml:space="preserve">Absent</w:t>
            </w:r>
          </w:p>
        </w:tc>
        <w:tc>
          <w:tcPr>
            <w:tcW w:type="dxa" w:w="7226"/>
            <w:tcMar>
              <w:top w:type="dxa" w:w="80"/>
              <w:left w:type="dxa" w:w="100"/>
              <w:bottom w:type="dxa" w:w="80"/>
              <w:right w:type="dxa" w:w="100"/>
            </w:tcMar>
            <w:vAlign w:val="top"/>
          </w:tcPr>
          <w:p>
            <w:r>
              <w:rPr>
                <w:b w:val="false"/>
                <w:bCs w:val="false"/>
              </w:rPr>
              <w:t xml:space="preserve">Năng lực chưa tồn tại, chưa được đề cập trong bất kỳ tài liệu hay source nào của V-ID.</w:t>
            </w:r>
          </w:p>
        </w:tc>
      </w:tr>
      <w:tr>
        <w:tc>
          <w:tcPr>
            <w:tcW w:type="dxa" w:w="1800"/>
            <w:tcMar>
              <w:top w:type="dxa" w:w="80"/>
              <w:left w:type="dxa" w:w="100"/>
              <w:bottom w:type="dxa" w:w="80"/>
              <w:right w:type="dxa" w:w="100"/>
            </w:tcMar>
            <w:vAlign w:val="top"/>
          </w:tcPr>
          <w:p>
            <w:r>
              <w:rPr>
                <w:b w:val="false"/>
                <w:bCs w:val="false"/>
              </w:rPr>
              <w:t xml:space="preserve">Conceptual</w:t>
            </w:r>
          </w:p>
        </w:tc>
        <w:tc>
          <w:tcPr>
            <w:tcW w:type="dxa" w:w="7226"/>
            <w:tcMar>
              <w:top w:type="dxa" w:w="80"/>
              <w:left w:type="dxa" w:w="100"/>
              <w:bottom w:type="dxa" w:w="80"/>
              <w:right w:type="dxa" w:w="100"/>
            </w:tcMar>
            <w:vAlign w:val="top"/>
          </w:tcPr>
          <w:p>
            <w:r>
              <w:rPr>
                <w:b w:val="false"/>
                <w:bCs w:val="false"/>
              </w:rPr>
              <w:t xml:space="preserve">Năng lực mới ở mức ý định hoặc mục tiêu, chưa có thiết kế cụ thể.</w:t>
            </w:r>
          </w:p>
        </w:tc>
      </w:tr>
      <w:tr>
        <w:tc>
          <w:tcPr>
            <w:tcW w:type="dxa" w:w="1800"/>
            <w:tcMar>
              <w:top w:type="dxa" w:w="80"/>
              <w:left w:type="dxa" w:w="100"/>
              <w:bottom w:type="dxa" w:w="80"/>
              <w:right w:type="dxa" w:w="100"/>
            </w:tcMar>
            <w:vAlign w:val="top"/>
          </w:tcPr>
          <w:p>
            <w:r>
              <w:rPr>
                <w:b w:val="false"/>
                <w:bCs w:val="false"/>
              </w:rPr>
              <w:t xml:space="preserve">Designed</w:t>
            </w:r>
          </w:p>
        </w:tc>
        <w:tc>
          <w:tcPr>
            <w:tcW w:type="dxa" w:w="7226"/>
            <w:tcMar>
              <w:top w:type="dxa" w:w="80"/>
              <w:left w:type="dxa" w:w="100"/>
              <w:bottom w:type="dxa" w:w="80"/>
              <w:right w:type="dxa" w:w="100"/>
            </w:tcMar>
            <w:vAlign w:val="top"/>
          </w:tcPr>
          <w:p>
            <w:r>
              <w:rPr>
                <w:b w:val="false"/>
                <w:bCs w:val="false"/>
              </w:rPr>
              <w:t xml:space="preserve">Đã có thiết kế, contract, sơ đồ hoặc acceptance criteria rõ ràng, chưa triển khai.</w:t>
            </w:r>
          </w:p>
        </w:tc>
      </w:tr>
      <w:tr>
        <w:tc>
          <w:tcPr>
            <w:tcW w:type="dxa" w:w="1800"/>
            <w:tcMar>
              <w:top w:type="dxa" w:w="80"/>
              <w:left w:type="dxa" w:w="100"/>
              <w:bottom w:type="dxa" w:w="80"/>
              <w:right w:type="dxa" w:w="100"/>
            </w:tcMar>
            <w:vAlign w:val="top"/>
          </w:tcPr>
          <w:p>
            <w:r>
              <w:rPr>
                <w:b w:val="false"/>
                <w:bCs w:val="false"/>
              </w:rPr>
              <w:t xml:space="preserve">Implemented</w:t>
            </w:r>
          </w:p>
        </w:tc>
        <w:tc>
          <w:tcPr>
            <w:tcW w:type="dxa" w:w="7226"/>
            <w:tcMar>
              <w:top w:type="dxa" w:w="80"/>
              <w:left w:type="dxa" w:w="100"/>
              <w:bottom w:type="dxa" w:w="80"/>
              <w:right w:type="dxa" w:w="100"/>
            </w:tcMar>
            <w:vAlign w:val="top"/>
          </w:tcPr>
          <w:p>
            <w:r>
              <w:rPr>
                <w:b w:val="false"/>
                <w:bCs w:val="false"/>
              </w:rPr>
              <w:t xml:space="preserve">Đã triển khai; source/config/API hiện thực hóa đúng thiết kế đã nêu.</w:t>
            </w:r>
          </w:p>
        </w:tc>
      </w:tr>
      <w:tr>
        <w:tc>
          <w:tcPr>
            <w:tcW w:type="dxa" w:w="1800"/>
            <w:tcMar>
              <w:top w:type="dxa" w:w="80"/>
              <w:left w:type="dxa" w:w="100"/>
              <w:bottom w:type="dxa" w:w="80"/>
              <w:right w:type="dxa" w:w="100"/>
            </w:tcMar>
            <w:vAlign w:val="top"/>
          </w:tcPr>
          <w:p>
            <w:r>
              <w:rPr>
                <w:b w:val="false"/>
                <w:bCs w:val="false"/>
              </w:rPr>
              <w:t xml:space="preserve">Hardened</w:t>
            </w:r>
          </w:p>
        </w:tc>
        <w:tc>
          <w:tcPr>
            <w:tcW w:type="dxa" w:w="7226"/>
            <w:tcMar>
              <w:top w:type="dxa" w:w="80"/>
              <w:left w:type="dxa" w:w="100"/>
              <w:bottom w:type="dxa" w:w="80"/>
              <w:right w:type="dxa" w:w="100"/>
            </w:tcMar>
            <w:vAlign w:val="top"/>
          </w:tcPr>
          <w:p>
            <w:r>
              <w:rPr>
                <w:b w:val="false"/>
                <w:bCs w:val="false"/>
              </w:rPr>
              <w:t xml:space="preserve">Đã triển khai và đã được kiểm chứng qua test hoặc dữ liệu vận hành, bao gồm các trường hợp lỗi.</w:t>
            </w:r>
          </w:p>
        </w:tc>
      </w:tr>
    </w:tbl>
    <w:p>
      <w:pPr>
        <w:spacing w:after="120"/>
      </w:pPr>
    </w:p>
    <w:p>
      <w:pPr>
        <w:spacing w:after="160"/>
      </w:pPr>
      <w:r>
        <w:rPr>
          <w:b w:val="false"/>
          <w:bCs w:val="false"/>
          <w:i/>
          <w:iCs/>
        </w:rPr>
        <w:t xml:space="preserve">Ví dụ minh họa: yêu cầu về webhook của V-ID (chữ ký số, chống replay, retry) hiện chỉ có một điều kiện kiểm tra URL nằm trong danh sách cho phép; chưa có cơ chế ký, gửi lại hoặc xử lý trùng lặp. Năng lực này được ghi nhận ở mức Conceptual: tồn tại dưới dạng một trường dữ liệu trong schema, tương đương một ý định, chưa có phần triển khai thực tế tương ứng.</w:t>
      </w:r>
    </w:p>
    <w:p>
      <w:pPr>
        <w:pStyle w:val="Heading1"/>
        <w:spacing w:after="160" w:before="320"/>
      </w:pPr>
      <w:r>
        <w:t xml:space="preserve">4. Mức độ nêu trong đặc tả (chỉ áp dụng cho eyePass)</w:t>
      </w:r>
    </w:p>
    <w:p>
      <w:pPr>
        <w:spacing w:after="160"/>
      </w:pPr>
      <w:r>
        <w:rPr>
          <w:b w:val="false"/>
          <w:bCs w:val="false"/>
          <w:i w:val="false"/>
          <w:iCs w:val="false"/>
        </w:rPr>
        <w:t xml:space="preserve">Trục này thay thế hoàn toàn việc chấm maturity cho eyePass. Nó không đo “eyePass làm tốt tới đâu” — không kiểm chứng được — mà chỉ đo đặc tả bàn giao nêu yêu cầu rõ tới đâu, để dùng làm checklist đối chiếu với V-ID.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E7E6E6" w:val="clear"/>
            <w:tcMar>
              <w:top w:type="dxa" w:w="80"/>
              <w:left w:type="dxa" w:w="100"/>
              <w:bottom w:type="dxa" w:w="80"/>
              <w:right w:type="dxa" w:w="100"/>
            </w:tcMar>
            <w:vAlign w:val="top"/>
          </w:tcPr>
          <w:p>
            <w:r>
              <w:rPr>
                <w:b/>
                <w:bCs/>
              </w:rPr>
              <w:t xml:space="preserve">Từ ngữ</w:t>
            </w:r>
          </w:p>
        </w:tc>
        <w:tc>
          <w:tcPr>
            <w:tcW w:type="dxa" w:w="7026"/>
            <w:shd w:fill="E7E6E6" w:val="clear"/>
            <w:tcMar>
              <w:top w:type="dxa" w:w="80"/>
              <w:left w:type="dxa" w:w="100"/>
              <w:bottom w:type="dxa" w:w="80"/>
              <w:right w:type="dxa" w:w="100"/>
            </w:tcMar>
            <w:vAlign w:val="top"/>
          </w:tcPr>
          <w:p>
            <w:r>
              <w:rPr>
                <w:b/>
                <w:bCs/>
              </w:rPr>
              <w:t xml:space="preserve">Định nghĩa</w:t>
            </w:r>
          </w:p>
        </w:tc>
      </w:tr>
      <w:tr>
        <w:tc>
          <w:tcPr>
            <w:tcW w:type="dxa" w:w="2000"/>
            <w:tcMar>
              <w:top w:type="dxa" w:w="80"/>
              <w:left w:type="dxa" w:w="100"/>
              <w:bottom w:type="dxa" w:w="80"/>
              <w:right w:type="dxa" w:w="100"/>
            </w:tcMar>
            <w:vAlign w:val="top"/>
          </w:tcPr>
          <w:p>
            <w:r>
              <w:rPr>
                <w:b w:val="false"/>
                <w:bCs w:val="false"/>
              </w:rPr>
              <w:t xml:space="preserve">Không đề cập</w:t>
            </w:r>
          </w:p>
        </w:tc>
        <w:tc>
          <w:tcPr>
            <w:tcW w:type="dxa" w:w="7026"/>
            <w:tcMar>
              <w:top w:type="dxa" w:w="80"/>
              <w:left w:type="dxa" w:w="100"/>
              <w:bottom w:type="dxa" w:w="80"/>
              <w:right w:type="dxa" w:w="100"/>
            </w:tcMar>
            <w:vAlign w:val="top"/>
          </w:tcPr>
          <w:p>
            <w:r>
              <w:rPr>
                <w:b w:val="false"/>
                <w:bCs w:val="false"/>
              </w:rPr>
              <w:t xml:space="preserve">Tài liệu bàn giao (BRD, flow/rule workbook, API/SDK doc, checklist) không đề cập tới yêu cầu này.</w:t>
            </w:r>
          </w:p>
        </w:tc>
      </w:tr>
      <w:tr>
        <w:tc>
          <w:tcPr>
            <w:tcW w:type="dxa" w:w="2000"/>
            <w:tcMar>
              <w:top w:type="dxa" w:w="80"/>
              <w:left w:type="dxa" w:w="100"/>
              <w:bottom w:type="dxa" w:w="80"/>
              <w:right w:type="dxa" w:w="100"/>
            </w:tcMar>
            <w:vAlign w:val="top"/>
          </w:tcPr>
          <w:p>
            <w:r>
              <w:rPr>
                <w:b w:val="false"/>
                <w:bCs w:val="false"/>
              </w:rPr>
              <w:t xml:space="preserve">Nêu chưa đầy đủ</w:t>
            </w:r>
          </w:p>
        </w:tc>
        <w:tc>
          <w:tcPr>
            <w:tcW w:type="dxa" w:w="7026"/>
            <w:tcMar>
              <w:top w:type="dxa" w:w="80"/>
              <w:left w:type="dxa" w:w="100"/>
              <w:bottom w:type="dxa" w:w="80"/>
              <w:right w:type="dxa" w:w="100"/>
            </w:tcMar>
            <w:vAlign w:val="top"/>
          </w:tcPr>
          <w:p>
            <w:r>
              <w:rPr>
                <w:b w:val="false"/>
                <w:bCs w:val="false"/>
              </w:rPr>
              <w:t xml:space="preserve">Có đề cập nhưng thiếu chi tiết, mơ hồ, hoặc chỉ có một phần.</w:t>
            </w:r>
          </w:p>
        </w:tc>
      </w:tr>
      <w:tr>
        <w:tc>
          <w:tcPr>
            <w:tcW w:type="dxa" w:w="2000"/>
            <w:tcMar>
              <w:top w:type="dxa" w:w="80"/>
              <w:left w:type="dxa" w:w="100"/>
              <w:bottom w:type="dxa" w:w="80"/>
              <w:right w:type="dxa" w:w="100"/>
            </w:tcMar>
            <w:vAlign w:val="top"/>
          </w:tcPr>
          <w:p>
            <w:r>
              <w:rPr>
                <w:b w:val="false"/>
                <w:bCs w:val="false"/>
              </w:rPr>
              <w:t xml:space="preserve">Nêu rõ</w:t>
            </w:r>
          </w:p>
        </w:tc>
        <w:tc>
          <w:tcPr>
            <w:tcW w:type="dxa" w:w="7026"/>
            <w:tcMar>
              <w:top w:type="dxa" w:w="80"/>
              <w:left w:type="dxa" w:w="100"/>
              <w:bottom w:type="dxa" w:w="80"/>
              <w:right w:type="dxa" w:w="100"/>
            </w:tcMar>
            <w:vAlign w:val="top"/>
          </w:tcPr>
          <w:p>
            <w:r>
              <w:rPr>
                <w:b w:val="false"/>
                <w:bCs w:val="false"/>
              </w:rPr>
              <w:t xml:space="preserve">Yêu cầu được đặc tả cụ thể, trích dẫn được trực tiếp section/sheet/cell.</w:t>
            </w:r>
          </w:p>
        </w:tc>
      </w:tr>
    </w:tbl>
    <w:p>
      <w:pPr>
        <w:spacing w:after="120"/>
      </w:pPr>
    </w:p>
    <w:p>
      <w:pPr>
        <w:spacing w:after="160"/>
      </w:pPr>
      <w:r>
        <w:rPr>
          <w:b w:val="false"/>
          <w:bCs w:val="false"/>
          <w:i/>
          <w:iCs/>
        </w:rPr>
        <w:t xml:space="preserve">Ví dụ minh họa: business rules của eyePass ghi ngưỡng face-match &lt; 0.8 nhưng không mô tả quy trình version/approval khi đổi ngưỡng. Đây là Nêu chưa đầy đủ, không phải Nêu rõ — có giá trị số nhưng thiếu governance đi kèm.</w:t>
      </w:r>
    </w:p>
    <w:p>
      <w:pPr>
        <w:pStyle w:val="Heading1"/>
        <w:spacing w:after="160" w:before="320"/>
      </w:pPr>
      <w:r>
        <w:t xml:space="preserve">5. Evidence confidence (chỉ áp dụng cho V-ID)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E7E6E6" w:val="clear"/>
            <w:tcMar>
              <w:top w:type="dxa" w:w="80"/>
              <w:left w:type="dxa" w:w="100"/>
              <w:bottom w:type="dxa" w:w="80"/>
              <w:right w:type="dxa" w:w="100"/>
            </w:tcMar>
            <w:vAlign w:val="top"/>
          </w:tcPr>
          <w:p>
            <w:r>
              <w:rPr>
                <w:b/>
                <w:bCs/>
              </w:rPr>
              <w:t xml:space="preserve">Ký hiệu</w:t>
            </w:r>
          </w:p>
        </w:tc>
        <w:tc>
          <w:tcPr>
            <w:tcW w:type="dxa" w:w="6826"/>
            <w:shd w:fill="E7E6E6" w:val="clear"/>
            <w:tcMar>
              <w:top w:type="dxa" w:w="80"/>
              <w:left w:type="dxa" w:w="100"/>
              <w:bottom w:type="dxa" w:w="80"/>
              <w:right w:type="dxa" w:w="100"/>
            </w:tcMar>
            <w:vAlign w:val="top"/>
          </w:tcPr>
          <w:p>
            <w:r>
              <w:rPr>
                <w:b/>
                <w:bCs/>
              </w:rPr>
              <w:t xml:space="preserve">Định nghĩa</w:t>
            </w:r>
          </w:p>
        </w:tc>
      </w:tr>
      <w:tr>
        <w:tc>
          <w:tcPr>
            <w:tcW w:type="dxa" w:w="2200"/>
            <w:tcMar>
              <w:top w:type="dxa" w:w="80"/>
              <w:left w:type="dxa" w:w="100"/>
              <w:bottom w:type="dxa" w:w="80"/>
              <w:right w:type="dxa" w:w="100"/>
            </w:tcMar>
            <w:vAlign w:val="top"/>
          </w:tcPr>
          <w:p>
            <w:r>
              <w:rPr>
                <w:b w:val="false"/>
                <w:bCs w:val="false"/>
              </w:rPr>
              <w:t xml:space="preserve">Doc-only</w:t>
            </w:r>
          </w:p>
        </w:tc>
        <w:tc>
          <w:tcPr>
            <w:tcW w:type="dxa" w:w="6826"/>
            <w:tcMar>
              <w:top w:type="dxa" w:w="80"/>
              <w:left w:type="dxa" w:w="100"/>
              <w:bottom w:type="dxa" w:w="80"/>
              <w:right w:type="dxa" w:w="100"/>
            </w:tcMar>
            <w:vAlign w:val="top"/>
          </w:tcPr>
          <w:p>
            <w:r>
              <w:rPr>
                <w:b w:val="false"/>
                <w:bCs w:val="false"/>
              </w:rPr>
              <w:t xml:space="preserve">Chỉ có tài liệu mô tả, không có quyền truy cập source hoặc test.</w:t>
            </w:r>
          </w:p>
        </w:tc>
      </w:tr>
      <w:tr>
        <w:tc>
          <w:tcPr>
            <w:tcW w:type="dxa" w:w="2200"/>
            <w:tcMar>
              <w:top w:type="dxa" w:w="80"/>
              <w:left w:type="dxa" w:w="100"/>
              <w:bottom w:type="dxa" w:w="80"/>
              <w:right w:type="dxa" w:w="100"/>
            </w:tcMar>
            <w:vAlign w:val="top"/>
          </w:tcPr>
          <w:p>
            <w:r>
              <w:rPr>
                <w:b w:val="false"/>
                <w:bCs w:val="false"/>
              </w:rPr>
              <w:t xml:space="preserve">Self-reported</w:t>
            </w:r>
          </w:p>
        </w:tc>
        <w:tc>
          <w:tcPr>
            <w:tcW w:type="dxa" w:w="6826"/>
            <w:tcMar>
              <w:top w:type="dxa" w:w="80"/>
              <w:left w:type="dxa" w:w="100"/>
              <w:bottom w:type="dxa" w:w="80"/>
              <w:right w:type="dxa" w:w="100"/>
            </w:tcMar>
            <w:vAlign w:val="top"/>
          </w:tcPr>
          <w:p>
            <w:r>
              <w:rPr>
                <w:b w:val="false"/>
                <w:bCs w:val="false"/>
              </w:rPr>
              <w:t xml:space="preserve">Nhận định do owner/team tự đưa ra, không kèm artifact kiểm chứng.</w:t>
            </w:r>
          </w:p>
        </w:tc>
      </w:tr>
      <w:tr>
        <w:tc>
          <w:tcPr>
            <w:tcW w:type="dxa" w:w="2200"/>
            <w:tcMar>
              <w:top w:type="dxa" w:w="80"/>
              <w:left w:type="dxa" w:w="100"/>
              <w:bottom w:type="dxa" w:w="80"/>
              <w:right w:type="dxa" w:w="100"/>
            </w:tcMar>
            <w:vAlign w:val="top"/>
          </w:tcPr>
          <w:p>
            <w:r>
              <w:rPr>
                <w:b w:val="false"/>
                <w:bCs w:val="false"/>
              </w:rPr>
              <w:t xml:space="preserve">Source-reviewed</w:t>
            </w:r>
          </w:p>
        </w:tc>
        <w:tc>
          <w:tcPr>
            <w:tcW w:type="dxa" w:w="6826"/>
            <w:tcMar>
              <w:top w:type="dxa" w:w="80"/>
              <w:left w:type="dxa" w:w="100"/>
              <w:bottom w:type="dxa" w:w="80"/>
              <w:right w:type="dxa" w:w="100"/>
            </w:tcMar>
            <w:vAlign w:val="top"/>
          </w:tcPr>
          <w:p>
            <w:r>
              <w:rPr>
                <w:b w:val="false"/>
                <w:bCs w:val="false"/>
              </w:rPr>
              <w:t xml:space="preserve">Đã đọc trực tiếp source/config liên quan.</w:t>
            </w:r>
          </w:p>
        </w:tc>
      </w:tr>
      <w:tr>
        <w:tc>
          <w:tcPr>
            <w:tcW w:type="dxa" w:w="2200"/>
            <w:tcMar>
              <w:top w:type="dxa" w:w="80"/>
              <w:left w:type="dxa" w:w="100"/>
              <w:bottom w:type="dxa" w:w="80"/>
              <w:right w:type="dxa" w:w="100"/>
            </w:tcMar>
            <w:vAlign w:val="top"/>
          </w:tcPr>
          <w:p>
            <w:r>
              <w:rPr>
                <w:b w:val="false"/>
                <w:bCs w:val="false"/>
              </w:rPr>
              <w:t xml:space="preserve">Test-verified</w:t>
            </w:r>
          </w:p>
        </w:tc>
        <w:tc>
          <w:tcPr>
            <w:tcW w:type="dxa" w:w="6826"/>
            <w:tcMar>
              <w:top w:type="dxa" w:w="80"/>
              <w:left w:type="dxa" w:w="100"/>
              <w:bottom w:type="dxa" w:w="80"/>
              <w:right w:type="dxa" w:w="100"/>
            </w:tcMar>
            <w:vAlign w:val="top"/>
          </w:tcPr>
          <w:p>
            <w:r>
              <w:rPr>
                <w:b w:val="false"/>
                <w:bCs w:val="false"/>
              </w:rPr>
              <w:t xml:space="preserve">Có test, run output hoặc kết quả review có thể truy vết.</w:t>
            </w:r>
          </w:p>
        </w:tc>
      </w:tr>
    </w:tbl>
    <w:p>
      <w:pPr>
        <w:spacing w:after="120"/>
      </w:pPr>
    </w:p>
    <w:p>
      <w:pPr>
        <w:spacing w:after="160"/>
      </w:pPr>
      <w:r>
        <w:rPr>
          <w:b w:val="false"/>
          <w:bCs w:val="false"/>
          <w:i w:val="false"/>
          <w:iCs w:val="false"/>
        </w:rPr>
        <w:t xml:space="preserve">eyePass không có cột confidence riêng: mọi trích dẫn eyePass mặc định Doc-only cố định, vì người đánh giá không có quyền truy cập source code của hệ thống đó (§4). Đây là giới hạn về khả năng kiểm chứng của người đánh giá, không phải đánh giá về chất lượng thực tế của eyePass.</w:t>
      </w:r>
    </w:p>
    <w:p>
      <w:pPr>
        <w:pStyle w:val="Heading1"/>
        <w:spacing w:after="160" w:before="320"/>
      </w:pPr>
      <w:r>
        <w:t xml:space="preserve">6. Trạng thái áp dụng</w:t>
      </w:r>
    </w:p>
    <w:p>
      <w:pPr>
        <w:spacing w:after="160"/>
      </w:pPr>
      <w:r>
        <w:rPr>
          <w:b w:val="false"/>
          <w:bCs w:val="false"/>
          <w:i w:val="false"/>
          <w:iCs w:val="false"/>
        </w:rPr>
        <w:t xml:space="preserve">Mô tả lập trường của V-ID với một yêu cầu, dù yêu cầu đó rút ra từ đặc tả eyePass hay từ nguồn khác.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E7E6E6" w:val="clear"/>
            <w:tcMar>
              <w:top w:type="dxa" w:w="80"/>
              <w:left w:type="dxa" w:w="100"/>
              <w:bottom w:type="dxa" w:w="80"/>
              <w:right w:type="dxa" w:w="100"/>
            </w:tcMar>
            <w:vAlign w:val="top"/>
          </w:tcPr>
          <w:p>
            <w:r>
              <w:rPr>
                <w:b/>
                <w:bCs/>
              </w:rPr>
              <w:t xml:space="preserve">Ký hiệu</w:t>
            </w:r>
          </w:p>
        </w:tc>
        <w:tc>
          <w:tcPr>
            <w:tcW w:type="dxa" w:w="6426"/>
            <w:shd w:fill="E7E6E6" w:val="clear"/>
            <w:tcMar>
              <w:top w:type="dxa" w:w="80"/>
              <w:left w:type="dxa" w:w="100"/>
              <w:bottom w:type="dxa" w:w="80"/>
              <w:right w:type="dxa" w:w="100"/>
            </w:tcMar>
            <w:vAlign w:val="top"/>
          </w:tcPr>
          <w:p>
            <w:r>
              <w:rPr>
                <w:b/>
                <w:bCs/>
              </w:rPr>
              <w:t xml:space="preserve">Điều kiện áp dụng</w:t>
            </w:r>
          </w:p>
        </w:tc>
      </w:tr>
      <w:tr>
        <w:tc>
          <w:tcPr>
            <w:tcW w:type="dxa" w:w="2600"/>
            <w:tcMar>
              <w:top w:type="dxa" w:w="80"/>
              <w:left w:type="dxa" w:w="100"/>
              <w:bottom w:type="dxa" w:w="80"/>
              <w:right w:type="dxa" w:w="100"/>
            </w:tcMar>
            <w:vAlign w:val="top"/>
          </w:tcPr>
          <w:p>
            <w:r>
              <w:rPr>
                <w:b w:val="false"/>
                <w:bCs w:val="false"/>
              </w:rPr>
              <w:t xml:space="preserve">IN_SCOPE</w:t>
            </w:r>
          </w:p>
        </w:tc>
        <w:tc>
          <w:tcPr>
            <w:tcW w:type="dxa" w:w="6426"/>
            <w:tcMar>
              <w:top w:type="dxa" w:w="80"/>
              <w:left w:type="dxa" w:w="100"/>
              <w:bottom w:type="dxa" w:w="80"/>
              <w:right w:type="dxa" w:w="100"/>
            </w:tcMar>
            <w:vAlign w:val="top"/>
          </w:tcPr>
          <w:p>
            <w:r>
              <w:rPr>
                <w:b w:val="false"/>
                <w:bCs w:val="false"/>
              </w:rPr>
              <w:t xml:space="preserve">Yêu cầu nằm trong phạm vi V-ID cần đáp ứng ở giai đoạn hiện tại.</w:t>
            </w:r>
          </w:p>
        </w:tc>
      </w:tr>
      <w:tr>
        <w:tc>
          <w:tcPr>
            <w:tcW w:type="dxa" w:w="2600"/>
            <w:tcMar>
              <w:top w:type="dxa" w:w="80"/>
              <w:left w:type="dxa" w:w="100"/>
              <w:bottom w:type="dxa" w:w="80"/>
              <w:right w:type="dxa" w:w="100"/>
            </w:tcMar>
            <w:vAlign w:val="top"/>
          </w:tcPr>
          <w:p>
            <w:r>
              <w:rPr>
                <w:b w:val="false"/>
                <w:bCs w:val="false"/>
              </w:rPr>
              <w:t xml:space="preserve">OUT_OF_SCOPE</w:t>
            </w:r>
          </w:p>
        </w:tc>
        <w:tc>
          <w:tcPr>
            <w:tcW w:type="dxa" w:w="6426"/>
            <w:tcMar>
              <w:top w:type="dxa" w:w="80"/>
              <w:left w:type="dxa" w:w="100"/>
              <w:bottom w:type="dxa" w:w="80"/>
              <w:right w:type="dxa" w:w="100"/>
            </w:tcMar>
            <w:vAlign w:val="top"/>
          </w:tcPr>
          <w:p>
            <w:r>
              <w:rPr>
                <w:b w:val="false"/>
                <w:bCs w:val="false"/>
              </w:rPr>
              <w:t xml:space="preserve">V-ID không cần năng lực này ở giai đoạn hiện tại, bất kể eyePass có nêu hay không.</w:t>
            </w:r>
          </w:p>
        </w:tc>
      </w:tr>
      <w:tr>
        <w:tc>
          <w:tcPr>
            <w:tcW w:type="dxa" w:w="2600"/>
            <w:tcMar>
              <w:top w:type="dxa" w:w="80"/>
              <w:left w:type="dxa" w:w="100"/>
              <w:bottom w:type="dxa" w:w="80"/>
              <w:right w:type="dxa" w:w="100"/>
            </w:tcMar>
            <w:vAlign w:val="top"/>
          </w:tcPr>
          <w:p>
            <w:r>
              <w:rPr>
                <w:b w:val="false"/>
                <w:bCs w:val="false"/>
              </w:rPr>
              <w:t xml:space="preserve">DEFERRED_BY_DESIGN</w:t>
            </w:r>
          </w:p>
        </w:tc>
        <w:tc>
          <w:tcPr>
            <w:tcW w:type="dxa" w:w="6426"/>
            <w:tcMar>
              <w:top w:type="dxa" w:w="80"/>
              <w:left w:type="dxa" w:w="100"/>
              <w:bottom w:type="dxa" w:w="80"/>
              <w:right w:type="dxa" w:w="100"/>
            </w:tcMar>
            <w:vAlign w:val="top"/>
          </w:tcPr>
          <w:p>
            <w:r>
              <w:rPr>
                <w:b w:val="false"/>
                <w:bCs w:val="false"/>
              </w:rPr>
              <w:t xml:space="preserve">V-ID chủ động chưa quyết định hoặc chưa triển khai, có lý do và owner được ghi nhận.</w:t>
            </w:r>
          </w:p>
        </w:tc>
      </w:tr>
      <w:tr>
        <w:tc>
          <w:tcPr>
            <w:tcW w:type="dxa" w:w="2600"/>
            <w:tcMar>
              <w:top w:type="dxa" w:w="80"/>
              <w:left w:type="dxa" w:w="100"/>
              <w:bottom w:type="dxa" w:w="80"/>
              <w:right w:type="dxa" w:w="100"/>
            </w:tcMar>
            <w:vAlign w:val="top"/>
          </w:tcPr>
          <w:p>
            <w:r>
              <w:rPr>
                <w:b w:val="false"/>
                <w:bCs w:val="false"/>
              </w:rPr>
              <w:t xml:space="preserve">GAP</w:t>
            </w:r>
          </w:p>
        </w:tc>
        <w:tc>
          <w:tcPr>
            <w:tcW w:type="dxa" w:w="6426"/>
            <w:tcMar>
              <w:top w:type="dxa" w:w="80"/>
              <w:left w:type="dxa" w:w="100"/>
              <w:bottom w:type="dxa" w:w="80"/>
              <w:right w:type="dxa" w:w="100"/>
            </w:tcMar>
            <w:vAlign w:val="top"/>
          </w:tcPr>
          <w:p>
            <w:r>
              <w:rPr>
                <w:b w:val="false"/>
                <w:bCs w:val="false"/>
              </w:rPr>
              <w:t xml:space="preserve">Năng lực cần thiết trong phạm vi nhưng V-ID chưa có evidence ở mức mong đợi, không có lý do chủ đích nào được ghi nhận.</w:t>
            </w:r>
          </w:p>
        </w:tc>
      </w:tr>
    </w:tbl>
    <w:p>
      <w:pPr>
        <w:spacing w:after="120"/>
      </w:pPr>
    </w:p>
    <w:p>
      <w:pPr>
        <w:spacing w:after="160"/>
      </w:pPr>
      <w:r>
        <w:rPr>
          <w:b w:val="false"/>
          <w:bCs w:val="false"/>
          <w:i w:val="false"/>
          <w:iCs w:val="false"/>
        </w:rPr>
        <w:t xml:space="preserve">DEFERRED_BY_DESIGN và GAP là hai trạng thái khác biệt về bản chất và không được gộp chung khi tổng hợp. Ví dụ: việc V-ID chưa phê duyệt ngưỡng (threshold) production là một quyết định có chủ đích, được ghi nhận trong tài liệu quản trị nội bộ của dự án — xếp loại DEFERRED_BY_DESIGN. Ngược lại, việc phân quyền cho các thao tác xem/tải/xóa dữ liệu gốc chưa được thiết kế chi tiết theo từng vai trò, và không có lý do chủ đích nào được ghi nhận cho việc này — xếp loại GAP.</w:t>
      </w:r>
    </w:p>
    <w:p>
      <w:pPr>
        <w:pStyle w:val="Heading1"/>
        <w:spacing w:after="160" w:before="320"/>
      </w:pPr>
      <w:r>
        <w:t xml:space="preserve">7. Nhận định kết luận</w:t>
      </w:r>
    </w:p>
    <w:p>
      <w:pPr>
        <w:spacing w:after="160"/>
      </w:pPr>
      <w:r>
        <w:rPr>
          <w:b w:val="false"/>
          <w:bCs w:val="false"/>
          <w:i w:val="false"/>
          <w:iCs w:val="false"/>
        </w:rPr>
        <w:t xml:space="preserve">Mọi nhãn dưới đây có chủ ngữ là V-ID, đối chiếu với yêu cầu rút ra từ đặc tả eyePass. Không có nhãn nào chấm điểm ngược lại cho eyePass.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E7E6E6" w:val="clear"/>
            <w:tcMar>
              <w:top w:type="dxa" w:w="80"/>
              <w:left w:type="dxa" w:w="100"/>
              <w:bottom w:type="dxa" w:w="80"/>
              <w:right w:type="dxa" w:w="100"/>
            </w:tcMar>
            <w:vAlign w:val="top"/>
          </w:tcPr>
          <w:p>
            <w:r>
              <w:rPr>
                <w:b/>
                <w:bCs/>
              </w:rPr>
              <w:t xml:space="preserve">Ký hiệu</w:t>
            </w:r>
          </w:p>
        </w:tc>
        <w:tc>
          <w:tcPr>
            <w:tcW w:type="dxa" w:w="6026"/>
            <w:shd w:fill="E7E6E6" w:val="clear"/>
            <w:tcMar>
              <w:top w:type="dxa" w:w="80"/>
              <w:left w:type="dxa" w:w="100"/>
              <w:bottom w:type="dxa" w:w="80"/>
              <w:right w:type="dxa" w:w="100"/>
            </w:tcMar>
            <w:vAlign w:val="top"/>
          </w:tcPr>
          <w:p>
            <w:r>
              <w:rPr>
                <w:b/>
                <w:bCs/>
              </w:rPr>
              <w:t xml:space="preserve">Điều kiện</w:t>
            </w:r>
          </w:p>
        </w:tc>
      </w:tr>
      <w:tr>
        <w:tc>
          <w:tcPr>
            <w:tcW w:type="dxa" w:w="3000"/>
            <w:tcMar>
              <w:top w:type="dxa" w:w="80"/>
              <w:left w:type="dxa" w:w="100"/>
              <w:bottom w:type="dxa" w:w="80"/>
              <w:right w:type="dxa" w:w="100"/>
            </w:tcMar>
            <w:vAlign w:val="top"/>
          </w:tcPr>
          <w:p>
            <w:r>
              <w:rPr>
                <w:b w:val="false"/>
                <w:bCs w:val="false"/>
              </w:rPr>
              <w:t xml:space="preserve">ĐÃ ĐÁP ỨNG — KIỂM CHỨNG ĐƯỢC</w:t>
            </w:r>
          </w:p>
        </w:tc>
        <w:tc>
          <w:tcPr>
            <w:tcW w:type="dxa" w:w="6026"/>
            <w:tcMar>
              <w:top w:type="dxa" w:w="80"/>
              <w:left w:type="dxa" w:w="100"/>
              <w:bottom w:type="dxa" w:w="80"/>
              <w:right w:type="dxa" w:w="100"/>
            </w:tcMar>
            <w:vAlign w:val="top"/>
          </w:tcPr>
          <w:p>
            <w:r>
              <w:rPr>
                <w:b w:val="false"/>
                <w:bCs w:val="false"/>
              </w:rPr>
              <w:t xml:space="preserve">eyePass Nêu rõ/Nêu chưa đầy đủ; V-ID đạt Implemented/Hardened, confidence Source-reviewed/Test-verified.</w:t>
            </w:r>
          </w:p>
        </w:tc>
      </w:tr>
      <w:tr>
        <w:tc>
          <w:tcPr>
            <w:tcW w:type="dxa" w:w="3000"/>
            <w:tcMar>
              <w:top w:type="dxa" w:w="80"/>
              <w:left w:type="dxa" w:w="100"/>
              <w:bottom w:type="dxa" w:w="80"/>
              <w:right w:type="dxa" w:w="100"/>
            </w:tcMar>
            <w:vAlign w:val="top"/>
          </w:tcPr>
          <w:p>
            <w:r>
              <w:rPr>
                <w:b w:val="false"/>
                <w:bCs w:val="false"/>
              </w:rPr>
              <w:t xml:space="preserve">ĐÃ ĐÁP ỨNG — THEO THIẾT KẾ</w:t>
            </w:r>
          </w:p>
        </w:tc>
        <w:tc>
          <w:tcPr>
            <w:tcW w:type="dxa" w:w="6026"/>
            <w:tcMar>
              <w:top w:type="dxa" w:w="80"/>
              <w:left w:type="dxa" w:w="100"/>
              <w:bottom w:type="dxa" w:w="80"/>
              <w:right w:type="dxa" w:w="100"/>
            </w:tcMar>
            <w:vAlign w:val="top"/>
          </w:tcPr>
          <w:p>
            <w:r>
              <w:rPr>
                <w:b w:val="false"/>
                <w:bCs w:val="false"/>
              </w:rPr>
              <w:t xml:space="preserve">eyePass Nêu rõ/Nêu chưa đầy đủ; V-ID đạt Designed trở lên nhưng confidence chỉ Doc-only/Self-reported, hoặc maturity mới dừng ở Designed.</w:t>
            </w:r>
          </w:p>
        </w:tc>
      </w:tr>
      <w:tr>
        <w:tc>
          <w:tcPr>
            <w:tcW w:type="dxa" w:w="3000"/>
            <w:tcMar>
              <w:top w:type="dxa" w:w="80"/>
              <w:left w:type="dxa" w:w="100"/>
              <w:bottom w:type="dxa" w:w="80"/>
              <w:right w:type="dxa" w:w="100"/>
            </w:tcMar>
            <w:vAlign w:val="top"/>
          </w:tcPr>
          <w:p>
            <w:r>
              <w:rPr>
                <w:b w:val="false"/>
                <w:bCs w:val="false"/>
              </w:rPr>
              <w:t xml:space="preserve">NGOÀI YÊU CẦU EYEPASS</w:t>
            </w:r>
          </w:p>
        </w:tc>
        <w:tc>
          <w:tcPr>
            <w:tcW w:type="dxa" w:w="6026"/>
            <w:tcMar>
              <w:top w:type="dxa" w:w="80"/>
              <w:left w:type="dxa" w:w="100"/>
              <w:bottom w:type="dxa" w:w="80"/>
              <w:right w:type="dxa" w:w="100"/>
            </w:tcMar>
            <w:vAlign w:val="top"/>
          </w:tcPr>
          <w:p>
            <w:r>
              <w:rPr>
                <w:b w:val="false"/>
                <w:bCs w:val="false"/>
              </w:rPr>
              <w:t xml:space="preserve">eyePass Không đề cập; V-ID vẫn có năng lực này ở mức Designed trở lên. Không viết “cải tiến so với eyePass” — eyePass không nêu yêu cầu này nên không có gì để cải tiến; chỉ ghi nhận evidence và lý do V-ID cần năng lực này.</w:t>
            </w:r>
          </w:p>
        </w:tc>
      </w:tr>
      <w:tr>
        <w:tc>
          <w:tcPr>
            <w:tcW w:type="dxa" w:w="3000"/>
            <w:tcMar>
              <w:top w:type="dxa" w:w="80"/>
              <w:left w:type="dxa" w:w="100"/>
              <w:bottom w:type="dxa" w:w="80"/>
              <w:right w:type="dxa" w:w="100"/>
            </w:tcMar>
            <w:vAlign w:val="top"/>
          </w:tcPr>
          <w:p>
            <w:r>
              <w:rPr>
                <w:b w:val="false"/>
                <w:bCs w:val="false"/>
              </w:rPr>
              <w:t xml:space="preserve">KẾ THỪA CÓ CHỌN LỌC</w:t>
            </w:r>
          </w:p>
        </w:tc>
        <w:tc>
          <w:tcPr>
            <w:tcW w:type="dxa" w:w="6026"/>
            <w:tcMar>
              <w:top w:type="dxa" w:w="80"/>
              <w:left w:type="dxa" w:w="100"/>
              <w:bottom w:type="dxa" w:w="80"/>
              <w:right w:type="dxa" w:w="100"/>
            </w:tcMar>
            <w:vAlign w:val="top"/>
          </w:tcPr>
          <w:p>
            <w:r>
              <w:rPr>
                <w:b w:val="false"/>
                <w:bCs w:val="false"/>
              </w:rPr>
              <w:t xml:space="preserve">eyePass có rule hoặc kinh nghiệm vận hành hữu ích, cần rà soát trước khi áp dụng cho V-ID, không sao chép trực tiếp.</w:t>
            </w:r>
          </w:p>
        </w:tc>
      </w:tr>
      <w:tr>
        <w:tc>
          <w:tcPr>
            <w:tcW w:type="dxa" w:w="3000"/>
            <w:tcMar>
              <w:top w:type="dxa" w:w="80"/>
              <w:left w:type="dxa" w:w="100"/>
              <w:bottom w:type="dxa" w:w="80"/>
              <w:right w:type="dxa" w:w="100"/>
            </w:tcMar>
            <w:vAlign w:val="top"/>
          </w:tcPr>
          <w:p>
            <w:r>
              <w:rPr>
                <w:b w:val="false"/>
                <w:bCs w:val="false"/>
              </w:rPr>
              <w:t xml:space="preserve">GAP</w:t>
            </w:r>
          </w:p>
        </w:tc>
        <w:tc>
          <w:tcPr>
            <w:tcW w:type="dxa" w:w="6026"/>
            <w:tcMar>
              <w:top w:type="dxa" w:w="80"/>
              <w:left w:type="dxa" w:w="100"/>
              <w:bottom w:type="dxa" w:w="80"/>
              <w:right w:type="dxa" w:w="100"/>
            </w:tcMar>
            <w:vAlign w:val="top"/>
          </w:tcPr>
          <w:p>
            <w:r>
              <w:rPr>
                <w:b w:val="false"/>
                <w:bCs w:val="false"/>
              </w:rPr>
              <w:t xml:space="preserve">Xem §6.</w:t>
            </w:r>
          </w:p>
        </w:tc>
      </w:tr>
      <w:tr>
        <w:tc>
          <w:tcPr>
            <w:tcW w:type="dxa" w:w="3000"/>
            <w:tcMar>
              <w:top w:type="dxa" w:w="80"/>
              <w:left w:type="dxa" w:w="100"/>
              <w:bottom w:type="dxa" w:w="80"/>
              <w:right w:type="dxa" w:w="100"/>
            </w:tcMar>
            <w:vAlign w:val="top"/>
          </w:tcPr>
          <w:p>
            <w:r>
              <w:rPr>
                <w:b w:val="false"/>
                <w:bCs w:val="false"/>
              </w:rPr>
              <w:t xml:space="preserve">DEFERRED_BY_DESIGN</w:t>
            </w:r>
          </w:p>
        </w:tc>
        <w:tc>
          <w:tcPr>
            <w:tcW w:type="dxa" w:w="6026"/>
            <w:tcMar>
              <w:top w:type="dxa" w:w="80"/>
              <w:left w:type="dxa" w:w="100"/>
              <w:bottom w:type="dxa" w:w="80"/>
              <w:right w:type="dxa" w:w="100"/>
            </w:tcMar>
            <w:vAlign w:val="top"/>
          </w:tcPr>
          <w:p>
            <w:r>
              <w:rPr>
                <w:b w:val="false"/>
                <w:bCs w:val="false"/>
              </w:rPr>
              <w:t xml:space="preserve">Xem §6.</w:t>
            </w:r>
          </w:p>
        </w:tc>
      </w:tr>
      <w:tr>
        <w:tc>
          <w:tcPr>
            <w:tcW w:type="dxa" w:w="3000"/>
            <w:tcMar>
              <w:top w:type="dxa" w:w="80"/>
              <w:left w:type="dxa" w:w="100"/>
              <w:bottom w:type="dxa" w:w="80"/>
              <w:right w:type="dxa" w:w="100"/>
            </w:tcMar>
            <w:vAlign w:val="top"/>
          </w:tcPr>
          <w:p>
            <w:r>
              <w:rPr>
                <w:b w:val="false"/>
                <w:bCs w:val="false"/>
              </w:rPr>
              <w:t xml:space="preserve">KHÔNG KẾ THỪA</w:t>
            </w:r>
          </w:p>
        </w:tc>
        <w:tc>
          <w:tcPr>
            <w:tcW w:type="dxa" w:w="6026"/>
            <w:tcMar>
              <w:top w:type="dxa" w:w="80"/>
              <w:left w:type="dxa" w:w="100"/>
              <w:bottom w:type="dxa" w:w="80"/>
              <w:right w:type="dxa" w:w="100"/>
            </w:tcMar>
            <w:vAlign w:val="top"/>
          </w:tcPr>
          <w:p>
            <w:r>
              <w:rPr>
                <w:b w:val="false"/>
                <w:bCs w:val="false"/>
              </w:rPr>
              <w:t xml:space="preserve">Cách tiếp cận mô tả trong đặc tả eyePass không phù hợp với nguyên tắc hoặc phạm vi của V-ID — V-ID chủ động không theo.</w:t>
            </w:r>
          </w:p>
        </w:tc>
      </w:tr>
      <w:tr>
        <w:tc>
          <w:tcPr>
            <w:tcW w:type="dxa" w:w="3000"/>
            <w:tcMar>
              <w:top w:type="dxa" w:w="80"/>
              <w:left w:type="dxa" w:w="100"/>
              <w:bottom w:type="dxa" w:w="80"/>
              <w:right w:type="dxa" w:w="100"/>
            </w:tcMar>
            <w:vAlign w:val="top"/>
          </w:tcPr>
          <w:p>
            <w:r>
              <w:rPr>
                <w:b w:val="false"/>
                <w:bCs w:val="false"/>
              </w:rPr>
              <w:t xml:space="preserve">OUT_OF_SCOPE</w:t>
            </w:r>
          </w:p>
        </w:tc>
        <w:tc>
          <w:tcPr>
            <w:tcW w:type="dxa" w:w="6026"/>
            <w:tcMar>
              <w:top w:type="dxa" w:w="80"/>
              <w:left w:type="dxa" w:w="100"/>
              <w:bottom w:type="dxa" w:w="80"/>
              <w:right w:type="dxa" w:w="100"/>
            </w:tcMar>
            <w:vAlign w:val="top"/>
          </w:tcPr>
          <w:p>
            <w:r>
              <w:rPr>
                <w:b w:val="false"/>
                <w:bCs w:val="false"/>
              </w:rPr>
              <w:t xml:space="preserve">Xem §6.</w:t>
            </w:r>
          </w:p>
        </w:tc>
      </w:tr>
      <w:tr>
        <w:tc>
          <w:tcPr>
            <w:tcW w:type="dxa" w:w="3000"/>
            <w:tcMar>
              <w:top w:type="dxa" w:w="80"/>
              <w:left w:type="dxa" w:w="100"/>
              <w:bottom w:type="dxa" w:w="80"/>
              <w:right w:type="dxa" w:w="100"/>
            </w:tcMar>
            <w:vAlign w:val="top"/>
          </w:tcPr>
          <w:p>
            <w:r>
              <w:rPr>
                <w:b w:val="false"/>
                <w:bCs w:val="false"/>
              </w:rPr>
              <w:t xml:space="preserve">CHƯA KẾT LUẬN</w:t>
            </w:r>
          </w:p>
        </w:tc>
        <w:tc>
          <w:tcPr>
            <w:tcW w:type="dxa" w:w="6026"/>
            <w:tcMar>
              <w:top w:type="dxa" w:w="80"/>
              <w:left w:type="dxa" w:w="100"/>
              <w:bottom w:type="dxa" w:w="80"/>
              <w:right w:type="dxa" w:w="100"/>
            </w:tcMar>
            <w:vAlign w:val="top"/>
          </w:tcPr>
          <w:p>
            <w:r>
              <w:rPr>
                <w:b w:val="false"/>
                <w:bCs w:val="false"/>
              </w:rPr>
              <w:t xml:space="preserve">Evidence về V-ID mâu thuẫn nhau; cần owner xác nhận trước khi kết luận.</w:t>
            </w:r>
          </w:p>
        </w:tc>
      </w:tr>
    </w:tbl>
    <w:p>
      <w:pPr>
        <w:pStyle w:val="Heading1"/>
        <w:spacing w:after="160" w:before="320"/>
      </w:pPr>
      <w:r>
        <w:t xml:space="preserve">8. Domain đánh giá (C01–C10)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shd w:fill="E7E6E6" w:val="clear"/>
            <w:tcMar>
              <w:top w:type="dxa" w:w="80"/>
              <w:left w:type="dxa" w:w="100"/>
              <w:bottom w:type="dxa" w:w="80"/>
              <w:right w:type="dxa" w:w="100"/>
            </w:tcMar>
            <w:vAlign w:val="top"/>
          </w:tcPr>
          <w:p>
            <w:r>
              <w:rPr>
                <w:b/>
                <w:bCs/>
              </w:rPr>
              <w:t xml:space="preserve">Mã</w:t>
            </w:r>
          </w:p>
        </w:tc>
        <w:tc>
          <w:tcPr>
            <w:tcW w:type="dxa" w:w="7826"/>
            <w:shd w:fill="E7E6E6" w:val="clear"/>
            <w:tcMar>
              <w:top w:type="dxa" w:w="80"/>
              <w:left w:type="dxa" w:w="100"/>
              <w:bottom w:type="dxa" w:w="80"/>
              <w:right w:type="dxa" w:w="100"/>
            </w:tcMar>
            <w:vAlign w:val="top"/>
          </w:tcPr>
          <w:p>
            <w:r>
              <w:rPr>
                <w:b/>
                <w:bCs/>
              </w:rPr>
              <w:t xml:space="preserve">Phạm vi</w:t>
            </w:r>
          </w:p>
        </w:tc>
      </w:tr>
      <w:tr>
        <w:tc>
          <w:tcPr>
            <w:tcW w:type="dxa" w:w="1200"/>
            <w:tcMar>
              <w:top w:type="dxa" w:w="80"/>
              <w:left w:type="dxa" w:w="100"/>
              <w:bottom w:type="dxa" w:w="80"/>
              <w:right w:type="dxa" w:w="100"/>
            </w:tcMar>
            <w:vAlign w:val="top"/>
          </w:tcPr>
          <w:p>
            <w:r>
              <w:rPr>
                <w:b w:val="false"/>
                <w:bCs w:val="false"/>
              </w:rPr>
              <w:t xml:space="preserve">C01</w:t>
            </w:r>
          </w:p>
        </w:tc>
        <w:tc>
          <w:tcPr>
            <w:tcW w:type="dxa" w:w="7826"/>
            <w:tcMar>
              <w:top w:type="dxa" w:w="80"/>
              <w:left w:type="dxa" w:w="100"/>
              <w:bottom w:type="dxa" w:w="80"/>
              <w:right w:type="dxa" w:w="100"/>
            </w:tcMar>
            <w:vAlign w:val="top"/>
          </w:tcPr>
          <w:p>
            <w:r>
              <w:rPr>
                <w:b w:val="false"/>
                <w:bCs w:val="false"/>
              </w:rPr>
              <w:t xml:space="preserve">Luồng thao tác của người dùng từ khởi tạo đến hoàn tất, bao gồm xử lý lỗi và thử lại.</w:t>
            </w:r>
          </w:p>
        </w:tc>
      </w:tr>
      <w:tr>
        <w:tc>
          <w:tcPr>
            <w:tcW w:type="dxa" w:w="1200"/>
            <w:tcMar>
              <w:top w:type="dxa" w:w="80"/>
              <w:left w:type="dxa" w:w="100"/>
              <w:bottom w:type="dxa" w:w="80"/>
              <w:right w:type="dxa" w:w="100"/>
            </w:tcMar>
            <w:vAlign w:val="top"/>
          </w:tcPr>
          <w:p>
            <w:r>
              <w:rPr>
                <w:b w:val="false"/>
                <w:bCs w:val="false"/>
              </w:rPr>
              <w:t xml:space="preserve">C02</w:t>
            </w:r>
          </w:p>
        </w:tc>
        <w:tc>
          <w:tcPr>
            <w:tcW w:type="dxa" w:w="7826"/>
            <w:tcMar>
              <w:top w:type="dxa" w:w="80"/>
              <w:left w:type="dxa" w:w="100"/>
              <w:bottom w:type="dxa" w:w="80"/>
              <w:right w:type="dxa" w:w="100"/>
            </w:tcMar>
            <w:vAlign w:val="top"/>
          </w:tcPr>
          <w:p>
            <w:r>
              <w:rPr>
                <w:b w:val="false"/>
                <w:bCs w:val="false"/>
              </w:rPr>
              <w:t xml:space="preserve">Đọc và xác thực giấy tờ tùy thân (CCCD, hộ chiếu...).</w:t>
            </w:r>
          </w:p>
        </w:tc>
      </w:tr>
      <w:tr>
        <w:tc>
          <w:tcPr>
            <w:tcW w:type="dxa" w:w="1200"/>
            <w:tcMar>
              <w:top w:type="dxa" w:w="80"/>
              <w:left w:type="dxa" w:w="100"/>
              <w:bottom w:type="dxa" w:w="80"/>
              <w:right w:type="dxa" w:w="100"/>
            </w:tcMar>
            <w:vAlign w:val="top"/>
          </w:tcPr>
          <w:p>
            <w:r>
              <w:rPr>
                <w:b w:val="false"/>
                <w:bCs w:val="false"/>
              </w:rPr>
              <w:t xml:space="preserve">C03</w:t>
            </w:r>
          </w:p>
        </w:tc>
        <w:tc>
          <w:tcPr>
            <w:tcW w:type="dxa" w:w="7826"/>
            <w:tcMar>
              <w:top w:type="dxa" w:w="80"/>
              <w:left w:type="dxa" w:w="100"/>
              <w:bottom w:type="dxa" w:w="80"/>
              <w:right w:type="dxa" w:w="100"/>
            </w:tcMar>
            <w:vAlign w:val="top"/>
          </w:tcPr>
          <w:p>
            <w:r>
              <w:rPr>
                <w:b w:val="false"/>
                <w:bCs w:val="false"/>
              </w:rPr>
              <w:t xml:space="preserve">Nhận diện khuôn mặt và phát hiện giả mạo (ảnh tĩnh, video, giọng nói).</w:t>
            </w:r>
          </w:p>
        </w:tc>
      </w:tr>
      <w:tr>
        <w:tc>
          <w:tcPr>
            <w:tcW w:type="dxa" w:w="1200"/>
            <w:tcMar>
              <w:top w:type="dxa" w:w="80"/>
              <w:left w:type="dxa" w:w="100"/>
              <w:bottom w:type="dxa" w:w="80"/>
              <w:right w:type="dxa" w:w="100"/>
            </w:tcMar>
            <w:vAlign w:val="top"/>
          </w:tcPr>
          <w:p>
            <w:r>
              <w:rPr>
                <w:b w:val="false"/>
                <w:bCs w:val="false"/>
              </w:rPr>
              <w:t xml:space="preserve">C04</w:t>
            </w:r>
          </w:p>
        </w:tc>
        <w:tc>
          <w:tcPr>
            <w:tcW w:type="dxa" w:w="7826"/>
            <w:tcMar>
              <w:top w:type="dxa" w:w="80"/>
              <w:left w:type="dxa" w:w="100"/>
              <w:bottom w:type="dxa" w:w="80"/>
              <w:right w:type="dxa" w:w="100"/>
            </w:tcMar>
            <w:vAlign w:val="top"/>
          </w:tcPr>
          <w:p>
            <w:r>
              <w:rPr>
                <w:b w:val="false"/>
                <w:bCs w:val="false"/>
              </w:rPr>
              <w:t xml:space="preserve">Cơ chế ra quyết định cuối cùng và vai trò của xét duyệt thủ công.</w:t>
            </w:r>
          </w:p>
        </w:tc>
      </w:tr>
      <w:tr>
        <w:tc>
          <w:tcPr>
            <w:tcW w:type="dxa" w:w="1200"/>
            <w:tcMar>
              <w:top w:type="dxa" w:w="80"/>
              <w:left w:type="dxa" w:w="100"/>
              <w:bottom w:type="dxa" w:w="80"/>
              <w:right w:type="dxa" w:w="100"/>
            </w:tcMar>
            <w:vAlign w:val="top"/>
          </w:tcPr>
          <w:p>
            <w:r>
              <w:rPr>
                <w:b w:val="false"/>
                <w:bCs w:val="false"/>
              </w:rPr>
              <w:t xml:space="preserve">C05</w:t>
            </w:r>
          </w:p>
        </w:tc>
        <w:tc>
          <w:tcPr>
            <w:tcW w:type="dxa" w:w="7826"/>
            <w:tcMar>
              <w:top w:type="dxa" w:w="80"/>
              <w:left w:type="dxa" w:w="100"/>
              <w:bottom w:type="dxa" w:w="80"/>
              <w:right w:type="dxa" w:w="100"/>
            </w:tcMar>
            <w:vAlign w:val="top"/>
          </w:tcPr>
          <w:p>
            <w:r>
              <w:rPr>
                <w:b w:val="false"/>
                <w:bCs w:val="false"/>
              </w:rPr>
              <w:t xml:space="preserve">Giao tiếp với hệ thống bên ngoài qua API, polling hoặc webhook.</w:t>
            </w:r>
          </w:p>
        </w:tc>
      </w:tr>
      <w:tr>
        <w:tc>
          <w:tcPr>
            <w:tcW w:type="dxa" w:w="1200"/>
            <w:tcMar>
              <w:top w:type="dxa" w:w="80"/>
              <w:left w:type="dxa" w:w="100"/>
              <w:bottom w:type="dxa" w:w="80"/>
              <w:right w:type="dxa" w:w="100"/>
            </w:tcMar>
            <w:vAlign w:val="top"/>
          </w:tcPr>
          <w:p>
            <w:r>
              <w:rPr>
                <w:b w:val="false"/>
                <w:bCs w:val="false"/>
              </w:rPr>
              <w:t xml:space="preserve">C06</w:t>
            </w:r>
          </w:p>
        </w:tc>
        <w:tc>
          <w:tcPr>
            <w:tcW w:type="dxa" w:w="7826"/>
            <w:tcMar>
              <w:top w:type="dxa" w:w="80"/>
              <w:left w:type="dxa" w:w="100"/>
              <w:bottom w:type="dxa" w:w="80"/>
              <w:right w:type="dxa" w:w="100"/>
            </w:tcMar>
            <w:vAlign w:val="top"/>
          </w:tcPr>
          <w:p>
            <w:r>
              <w:rPr>
                <w:b w:val="false"/>
                <w:bCs w:val="false"/>
              </w:rPr>
              <w:t xml:space="preserve">Quản trị model AI: nguồn gốc, quyền sử dụng, khả năng chạy offline.</w:t>
            </w:r>
          </w:p>
        </w:tc>
      </w:tr>
      <w:tr>
        <w:tc>
          <w:tcPr>
            <w:tcW w:type="dxa" w:w="1200"/>
            <w:tcMar>
              <w:top w:type="dxa" w:w="80"/>
              <w:left w:type="dxa" w:w="100"/>
              <w:bottom w:type="dxa" w:w="80"/>
              <w:right w:type="dxa" w:w="100"/>
            </w:tcMar>
            <w:vAlign w:val="top"/>
          </w:tcPr>
          <w:p>
            <w:r>
              <w:rPr>
                <w:b w:val="false"/>
                <w:bCs w:val="false"/>
              </w:rPr>
              <w:t xml:space="preserve">C07</w:t>
            </w:r>
          </w:p>
        </w:tc>
        <w:tc>
          <w:tcPr>
            <w:tcW w:type="dxa" w:w="7826"/>
            <w:tcMar>
              <w:top w:type="dxa" w:w="80"/>
              <w:left w:type="dxa" w:w="100"/>
              <w:bottom w:type="dxa" w:w="80"/>
              <w:right w:type="dxa" w:w="100"/>
            </w:tcMar>
            <w:vAlign w:val="top"/>
          </w:tcPr>
          <w:p>
            <w:r>
              <w:rPr>
                <w:b w:val="false"/>
                <w:bCs w:val="false"/>
              </w:rPr>
              <w:t xml:space="preserve">Xử lý, lưu trữ và xóa dữ liệu nhạy cảm.</w:t>
            </w:r>
          </w:p>
        </w:tc>
      </w:tr>
      <w:tr>
        <w:tc>
          <w:tcPr>
            <w:tcW w:type="dxa" w:w="1200"/>
            <w:tcMar>
              <w:top w:type="dxa" w:w="80"/>
              <w:left w:type="dxa" w:w="100"/>
              <w:bottom w:type="dxa" w:w="80"/>
              <w:right w:type="dxa" w:w="100"/>
            </w:tcMar>
            <w:vAlign w:val="top"/>
          </w:tcPr>
          <w:p>
            <w:r>
              <w:rPr>
                <w:b w:val="false"/>
                <w:bCs w:val="false"/>
              </w:rPr>
              <w:t xml:space="preserve">C08</w:t>
            </w:r>
          </w:p>
        </w:tc>
        <w:tc>
          <w:tcPr>
            <w:tcW w:type="dxa" w:w="7826"/>
            <w:tcMar>
              <w:top w:type="dxa" w:w="80"/>
              <w:left w:type="dxa" w:w="100"/>
              <w:bottom w:type="dxa" w:w="80"/>
              <w:right w:type="dxa" w:w="100"/>
            </w:tcMar>
            <w:vAlign w:val="top"/>
          </w:tcPr>
          <w:p>
            <w:r>
              <w:rPr>
                <w:b w:val="false"/>
                <w:bCs w:val="false"/>
              </w:rPr>
              <w:t xml:space="preserve">Bảo mật vận hành: phân quyền, ghi log, phát hiện sự cố.</w:t>
            </w:r>
          </w:p>
        </w:tc>
      </w:tr>
      <w:tr>
        <w:tc>
          <w:tcPr>
            <w:tcW w:type="dxa" w:w="1200"/>
            <w:tcMar>
              <w:top w:type="dxa" w:w="80"/>
              <w:left w:type="dxa" w:w="100"/>
              <w:bottom w:type="dxa" w:w="80"/>
              <w:right w:type="dxa" w:w="100"/>
            </w:tcMar>
            <w:vAlign w:val="top"/>
          </w:tcPr>
          <w:p>
            <w:r>
              <w:rPr>
                <w:b w:val="false"/>
                <w:bCs w:val="false"/>
              </w:rPr>
              <w:t xml:space="preserve">C09</w:t>
            </w:r>
          </w:p>
        </w:tc>
        <w:tc>
          <w:tcPr>
            <w:tcW w:type="dxa" w:w="7826"/>
            <w:tcMar>
              <w:top w:type="dxa" w:w="80"/>
              <w:left w:type="dxa" w:w="100"/>
              <w:bottom w:type="dxa" w:w="80"/>
              <w:right w:type="dxa" w:w="100"/>
            </w:tcMar>
            <w:vAlign w:val="top"/>
          </w:tcPr>
          <w:p>
            <w:r>
              <w:rPr>
                <w:b w:val="false"/>
                <w:bCs w:val="false"/>
              </w:rPr>
              <w:t xml:space="preserve">Mức độ kiểm thử và độ tin cậy vào tính đúng đắn của hệ thống.</w:t>
            </w:r>
          </w:p>
        </w:tc>
      </w:tr>
      <w:tr>
        <w:tc>
          <w:tcPr>
            <w:tcW w:type="dxa" w:w="1200"/>
            <w:tcMar>
              <w:top w:type="dxa" w:w="80"/>
              <w:left w:type="dxa" w:w="100"/>
              <w:bottom w:type="dxa" w:w="80"/>
              <w:right w:type="dxa" w:w="100"/>
            </w:tcMar>
            <w:vAlign w:val="top"/>
          </w:tcPr>
          <w:p>
            <w:r>
              <w:rPr>
                <w:b w:val="false"/>
                <w:bCs w:val="false"/>
              </w:rPr>
              <w:t xml:space="preserve">C10</w:t>
            </w:r>
          </w:p>
        </w:tc>
        <w:tc>
          <w:tcPr>
            <w:tcW w:type="dxa" w:w="7826"/>
            <w:tcMar>
              <w:top w:type="dxa" w:w="80"/>
              <w:left w:type="dxa" w:w="100"/>
              <w:bottom w:type="dxa" w:w="80"/>
              <w:right w:type="dxa" w:w="100"/>
            </w:tcMar>
            <w:vAlign w:val="top"/>
          </w:tcPr>
          <w:p>
            <w:r>
              <w:rPr>
                <w:b w:val="false"/>
                <w:bCs w:val="false"/>
              </w:rPr>
              <w:t xml:space="preserve">Quản trị tiến độ, quyết định còn mở và phân công trách nhiệm.</w:t>
            </w:r>
          </w:p>
        </w:tc>
      </w:tr>
    </w:tbl>
    <w:p>
      <w:pPr>
        <w:pStyle w:val="Heading1"/>
        <w:spacing w:after="160" w:before="320"/>
      </w:pPr>
      <w:r>
        <w:t xml:space="preserve">9. Diễn giải các điểm thường bị hiểu sai</w:t>
      </w:r>
    </w:p>
    <w:p>
      <w:pPr>
        <w:spacing w:after="160"/>
      </w:pPr>
      <w:r>
        <w:rPr>
          <w:b/>
          <w:bCs/>
          <w:i w:val="false"/>
          <w:iCs w:val="false"/>
        </w:rPr>
        <w:t xml:space="preserve">Đây có phải một so sánh ngang hàng giữa hai hệ thống không?</w:t>
      </w:r>
    </w:p>
    <w:p>
      <w:pPr>
        <w:spacing w:after="160"/>
      </w:pPr>
      <w:r>
        <w:rPr>
          <w:b w:val="false"/>
          <w:bCs w:val="false"/>
          <w:i w:val="false"/>
          <w:iCs w:val="false"/>
        </w:rPr>
        <w:t xml:space="preserve">Không. eyePass đã được xây dựng và vận hành trước đây, nhưng đội đánh giá chỉ có tài liệu bàn giao, không có source/test/runtime access — và V-ID-eKYC hiện mới ở giai đoạn technical demo, chưa MVP feature-complete. Cộng hai giới hạn này lại, một bảng “điểm ngang hàng” sẽ đánh lừa người đọc theo cả hai chiều: phạt eyePass vì chúng ta không kiểm chứng được, và phạt/khen V-ID như thể nó đã là sản phẩm hoàn thiện. Vì vậy eyePass chỉ được dùng làm nguồn yêu cầu tham chiếu để tạo checklist, và V-ID được chấm theo checklist đó — không chấm điểm ngược lại cho eyePass so với V-ID.</w:t>
      </w:r>
    </w:p>
    <w:p>
      <w:pPr>
        <w:spacing w:after="160"/>
      </w:pPr>
      <w:r>
        <w:rPr>
          <w:b/>
          <w:bCs/>
          <w:i w:val="false"/>
          <w:iCs w:val="false"/>
        </w:rPr>
        <w:t xml:space="preserve">Vì sao trục maturity không còn dùng ký hiệu L0–L4?</w:t>
      </w:r>
    </w:p>
    <w:p>
      <w:pPr>
        <w:spacing w:after="160"/>
      </w:pPr>
      <w:r>
        <w:rPr>
          <w:b w:val="false"/>
          <w:bCs w:val="false"/>
          <w:i w:val="false"/>
          <w:iCs w:val="false"/>
        </w:rPr>
        <w:t xml:space="preserve">Một mã chữ+số đọc như một điểm số trên thang định lượng, mời người đọc so sánh trực tiếp (L3 so với L1) mà bỏ qua caveat confidence đứng cạnh nó. Ví dụ cụ thể từng gây hiểu lầm: một dòng ghi eyePass L1 khiến người đọc nghĩ “eyePass yếu ở đây”, trong khi L1 đó chỉ phản ánh eyePass được ghi nhận theo thang cũ dùng chung với V-ID, chứ không mô tả năng lực thực tế của eyePass — vốn không kiểm chứng được. Vì vậy maturity chỉ dùng từ ngữ thuần cho V-ID, và eyePass chuyển hẳn sang trục khác (§4) để không còn nằm chung thang với V-ID.</w:t>
      </w:r>
    </w:p>
    <w:p>
      <w:pPr>
        <w:spacing w:after="160"/>
      </w:pPr>
      <w:r>
        <w:rPr>
          <w:b/>
          <w:bCs/>
          <w:i w:val="false"/>
          <w:iCs w:val="false"/>
        </w:rPr>
        <w:t xml:space="preserve">Vì sao eyePass — một sản phẩm đã từng vận hành thực tế — không được chấm maturity?</w:t>
      </w:r>
    </w:p>
    <w:p>
      <w:pPr>
        <w:spacing w:after="160"/>
      </w:pPr>
      <w:r>
        <w:rPr>
          <w:b w:val="false"/>
          <w:bCs w:val="false"/>
          <w:i w:val="false"/>
          <w:iCs w:val="false"/>
        </w:rPr>
        <w:t xml:space="preserve">Vì maturity đo năng lực thực tế của một hệ thống, và điều đó chỉ kiểm chứng được qua source/test/runtime — thứ chúng ta không có cho eyePass. Gán một mức maturity cho eyePass dựa trên tài liệu bàn giao luôn là suy diễn, dù có ghi kèm confidence Doc-only hay không, vì bản thân con số/chữ đó đã ngụ ý một phép đo năng lực. Trục Nêu rõ/Nêu chưa đầy đủ/Không đề cập (§4) tránh ngụ ý đó: nó chỉ mô tả tài liệu, không mô tả hệ thống.</w:t>
      </w:r>
    </w:p>
    <w:p>
      <w:pPr>
        <w:spacing w:after="160"/>
      </w:pPr>
      <w:r>
        <w:rPr>
          <w:b/>
          <w:bCs/>
          <w:i w:val="false"/>
          <w:iCs w:val="false"/>
        </w:rPr>
        <w:t xml:space="preserve">V-ID để một mục ở trạng thái TBD/DEFERRED_BY_DESIGN có được xem là điểm yếu không?</w:t>
      </w:r>
    </w:p>
    <w:p>
      <w:pPr>
        <w:spacing w:after="160"/>
      </w:pPr>
      <w:r>
        <w:rPr>
          <w:b w:val="false"/>
          <w:bCs w:val="false"/>
          <w:i w:val="false"/>
          <w:iCs w:val="false"/>
        </w:rPr>
        <w:t xml:space="preserve">Không mặc định như vậy. Khi có lý do được ghi nhận (ai quyết định, thời điểm quyết định), đây được xem là kỷ luật quản trị phù hợp, không phải một thiếu sót. Chỉ khi không có lý do chủ đích nào được ghi nhận, tiêu chí đó mới được xếp loại GAP.</w:t>
      </w:r>
    </w:p>
    <w:p>
      <w:pPr>
        <w:spacing w:after="160"/>
      </w:pPr>
      <w:r>
        <w:rPr>
          <w:b/>
          <w:bCs/>
          <w:i w:val="false"/>
          <w:iCs w:val="false"/>
        </w:rPr>
        <w:t xml:space="preserve">Ai là người xác nhận mức ưu tiên P0/P1/P2?</w:t>
      </w:r>
    </w:p>
    <w:p>
      <w:pPr>
        <w:spacing w:after="160"/>
      </w:pPr>
      <w:r>
        <w:rPr>
          <w:b w:val="false"/>
          <w:bCs w:val="false"/>
          <w:i w:val="false"/>
          <w:iCs w:val="false"/>
        </w:rPr>
        <w:t xml:space="preserve">Người đánh giá đề xuất mức ưu tiên dựa trên rủi ro quan sát được, nhưng owner dự án là người xác nhận cuối cùng, đặc biệt đối với mọi mục ở mức P0.</w:t>
      </w:r>
    </w:p>
    <w:p>
      <w:pPr>
        <w:spacing w:after="160"/>
      </w:pPr>
      <w:r>
        <w:rPr>
          <w:b/>
          <w:bCs/>
          <w:i w:val="false"/>
          <w:iCs w:val="false"/>
        </w:rPr>
        <w:t xml:space="preserve">Vì sao không tổng hợp thành một điểm số duy nhất cho toàn hệ thống?</w:t>
      </w:r>
    </w:p>
    <w:p>
      <w:pPr>
        <w:spacing w:after="160"/>
      </w:pPr>
      <w:r>
        <w:rPr>
          <w:b w:val="false"/>
          <w:bCs w:val="false"/>
          <w:i w:val="false"/>
          <w:iCs w:val="false"/>
        </w:rPr>
        <w:t xml:space="preserve">Một chỉ số tổng hợp duy nhất sẽ xóa bỏ sự khác biệt giữa “chưa kiểm chứng được”, “chủ động chưa triển khai” và “thực sự thiếu sót” — ba trạng thái có ý nghĩa khác nhau nhưng sẽ trở nên không thể phân biệt nếu quy về cùng một con số. Cấu trúc đánh giá giữ các cột tách biệt để không làm mất thông tin này.</w:t>
      </w:r>
    </w:p>
    <w:p>
      <w:pPr>
        <w:pStyle w:val="Heading1"/>
        <w:spacing w:after="160" w:before="320"/>
      </w:pPr>
      <w:r>
        <w:t xml:space="preserve">10. Ví dụ minh họa cách đọc một dòng</w:t>
      </w:r>
    </w:p>
    <w:p>
      <w:pPr>
        <w:spacing w:after="160"/>
      </w:pPr>
      <w:r>
        <w:rPr>
          <w:b w:val="false"/>
          <w:bCs w:val="false"/>
          <w:i w:val="false"/>
          <w:iCs w:val="false"/>
        </w:rPr>
        <w:t xml:space="preserve">Ví dụ dưới đây minh họa cách đọc một dòng đánh giá đầy đủ, dựng theo tiêu chí C04.1 (tách execution status / review signal / quyết định cuối cùng, không gộp score làm verdict):</w:t>
      </w:r>
    </w:p>
    <w:p>
      <w:pPr>
        <w:pStyle w:val="ListParagraph"/>
        <w:numPr>
          <w:ilvl w:val="0"/>
          <w:numId w:val="1"/>
        </w:numPr>
        <w:spacing w:after="100"/>
      </w:pPr>
      <w:r>
        <w:t xml:space="preserve">eyePass: Nêu rõ — tài liệu API cho thấy hệ thống trả về một mã duy nhất đóng vai trò vừa là kết quả xử lý vừa là quyết định, không có sự tách biệt như yêu cầu. Đặc tả mô tả cụ thể hành vi này, chỉ là không đáp ứng yêu cầu tách biệt — không phải tài liệu mơ hồ.</w:t>
      </w:r>
    </w:p>
    <w:p>
      <w:pPr>
        <w:pStyle w:val="ListParagraph"/>
        <w:numPr>
          <w:ilvl w:val="0"/>
          <w:numId w:val="1"/>
        </w:numPr>
        <w:spacing w:after="100"/>
      </w:pPr>
      <w:r>
        <w:t xml:space="preserve">V-ID: maturity Hardened, confidence Test-verified — source code tách riêng rõ ràng ba thành phần này, và có test tự động kiểm chứng.</w:t>
      </w:r>
    </w:p>
    <w:p>
      <w:pPr>
        <w:pStyle w:val="ListParagraph"/>
        <w:numPr>
          <w:ilvl w:val="0"/>
          <w:numId w:val="1"/>
        </w:numPr>
        <w:spacing w:after="100"/>
      </w:pPr>
      <w:r>
        <w:t xml:space="preserve">Nhận định: ĐÃ ĐÁP ỨNG — KIỂM CHỨNG ĐƯỢC.</w:t>
      </w:r>
    </w:p>
    <w:p>
      <w:pPr>
        <w:spacing w:after="120"/>
      </w:pPr>
    </w:p>
    <w:p>
      <w:pPr>
        <w:spacing w:after="160"/>
      </w:pPr>
      <w:r>
        <w:rPr>
          <w:b w:val="false"/>
          <w:bCs w:val="false"/>
          <w:i/>
          <w:iCs/>
        </w:rPr>
        <w:t xml:space="preserve">Thứ tự đọc: mức nêu trong đặc tả eyePass trước, rồi maturity + confidence của V-ID, rồi nhận định sau cùng. Không đọc trực tiếp vào cột nhận định mà bỏ qua các trục nền tảng phía trước.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2026-08-10T03:42:24.835Z</dcterms:created>
  <dcterms:modified xsi:type="dcterms:W3CDTF">2026-08-10T03:42:24.835Z</dcterms:modified>
</cp:coreProperties>
</file>

<file path=docProps/custom.xml><?xml version="1.0" encoding="utf-8"?>
<Properties xmlns="http://schemas.openxmlformats.org/officeDocument/2006/custom-properties" xmlns:vt="http://schemas.openxmlformats.org/officeDocument/2006/docPropsVTypes"/>
</file>