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pStyle w:val="DocumentEyebrow"/>
      </w:pPr>
      <w:r>
        <w:t>PICKREADY  /  IMPLEMENTATION-ALIGNED DOCUMENTATION</w:t>
      </w:r>
    </w:p>
    <w:p>
      <w:pPr>
        <w:pStyle w:val="Title"/>
      </w:pPr>
      <w:r>
        <w:t>PickReady Product Documentation</w:t>
      </w:r>
    </w:p>
    <w:p>
      <w:pPr>
        <w:pStyle w:val="Subtitle"/>
      </w:pPr>
      <w:r>
        <w:t>What the product does, how people use it, and where its measurable value comes from</w:t>
      </w:r>
    </w:p>
    <w:p>
      <w:pPr>
        <w:spacing w:before="80" w:after="360"/>
      </w:pPr>
      <w:r>
        <w:rPr>
          <w:b/>
        </w:rPr>
        <w:t>Audience: Business leaders, HR teams, candidates, product teams and implementation partners</w:t>
      </w:r>
      <w:r/>
      <w:r>
        <w:rPr>
          <w:b/>
        </w:rPr>
      </w:r>
      <w:r/>
    </w:p>
    <w:p>
      <w:pPr>
        <w:spacing w:after="320"/>
        <w:jc w:val="center"/>
      </w:pPr>
      <w:r>
        <w:drawing>
          <wp:inline xmlns:a="http://schemas.openxmlformats.org/drawingml/2006/main" xmlns:pic="http://schemas.openxmlformats.org/drawingml/2006/picture">
            <wp:extent cx="5897880" cy="2359152"/>
            <wp:docPr id="1" name="Picture 1" title="PickReady Product Documentation" descr="Product flow from job draft through candidate evidence and hiring decision."/>
            <wp:cNvGraphicFramePr>
              <a:graphicFrameLocks noChangeAspect="1"/>
            </wp:cNvGraphicFramePr>
            <a:graphic>
              <a:graphicData uri="http://schemas.openxmlformats.org/drawingml/2006/picture">
                <pic:pic>
                  <pic:nvPicPr>
                    <pic:cNvPr id="0" name="product-flow.png"/>
                    <pic:cNvPicPr/>
                  </pic:nvPicPr>
                  <pic:blipFill>
                    <a:blip r:embed="rId9"/>
                    <a:stretch>
                      <a:fillRect/>
                    </a:stretch>
                  </pic:blipFill>
                  <pic:spPr>
                    <a:xfrm>
                      <a:off x="0" y="0"/>
                      <a:ext cx="5897880" cy="2359152"/>
                    </a:xfrm>
                    <a:prstGeom prst="rect"/>
                  </pic:spPr>
                </pic:pic>
              </a:graphicData>
            </a:graphic>
          </wp:inline>
        </w:drawing>
      </w:r>
    </w:p>
    <w:p>
      <w:pPr>
        <w:shd w:fill="F0ECFF"/>
        <w:spacing w:before="160" w:after="160"/>
        <w:ind w:left="180" w:right="180"/>
      </w:pPr>
      <w:r>
        <w:rPr>
          <w:b/>
          <w:color w:val="5028E0"/>
        </w:rPr>
        <w:t xml:space="preserve">Source-of-truth policy  </w:t>
      </w:r>
      <w:r>
        <w:t>This document records the current implementation. When prose and code differ, the running source code, migrations, tests and interfaces are authoritative.</w:t>
      </w:r>
    </w:p>
    <w:p>
      <w:pPr>
        <w:sectPr>
          <w:pgSz w:w="12240" w:h="15840"/>
          <w:pgMar w:top="1440" w:right="1440" w:bottom="1440" w:left="1440" w:header="708" w:footer="708" w:gutter="0"/>
          <w:cols w:space="720"/>
          <w:titlePg/>
          <w:docGrid w:linePitch="360"/>
        </w:sectPr>
      </w:pPr>
    </w:p>
    <w:p>
      <w:pPr>
        <w:pStyle w:val="Heading1"/>
        <w:keepNext/>
      </w:pPr>
      <w:r>
        <w:t>At a glance</w:t>
      </w:r>
    </w:p>
    <w:p>
      <w:r>
        <w:t>PickReady connects job creation, candidate intake, hybrid matching, invitation-gated assessment, qualitative reporting, hiring-pipeline communication, billing and business development across four role-focused workspaces.</w:t>
      </w:r>
    </w:p>
    <w:tbl>
      <w:tblPr>
        <w:tblW w:type="auto" w:w="0"/>
        <w:jc w:val="center"/>
        <w:tblLayout w:type="fixed"/>
        <w:tblLook w:firstColumn="1" w:firstRow="1" w:lastColumn="0" w:lastRow="0" w:noHBand="0" w:noVBand="1" w:val="04A0"/>
        <w:tblInd w:w="120" w:type="dxa"/>
      </w:tblPr>
      <w:tblGrid>
        <w:gridCol w:w="4680"/>
        <w:gridCol w:w="4680"/>
      </w:tblGrid>
      <w:tr>
        <w:trPr>
          <w:tblHeader w:val="true"/>
          <w:cantSplit w:val="true"/>
        </w:trPr>
        <w:tc>
          <w:tcPr>
            <w:tcW w:type="dxa" w:w="2520"/>
            <w:shd w:fill="E8EEF5"/>
            <w:tcMar>
              <w:top w:w="80" w:type="dxa"/>
              <w:start w:w="120" w:type="dxa"/>
              <w:bottom w:w="80" w:type="dxa"/>
              <w:end w:w="120" w:type="dxa"/>
            </w:tcMar>
            <w:vAlign w:val="center"/>
          </w:tcPr>
          <w:p>
            <w:r>
              <w:rPr>
                <w:b/>
                <w:color w:val="1F4D78"/>
              </w:rPr>
              <w:t>Signal</w:t>
            </w:r>
          </w:p>
        </w:tc>
        <w:tc>
          <w:tcPr>
            <w:tcW w:type="dxa" w:w="6840"/>
            <w:shd w:fill="E8EEF5"/>
            <w:tcMar>
              <w:top w:w="80" w:type="dxa"/>
              <w:start w:w="120" w:type="dxa"/>
              <w:bottom w:w="80" w:type="dxa"/>
              <w:end w:w="120" w:type="dxa"/>
            </w:tcMar>
            <w:vAlign w:val="center"/>
          </w:tcPr>
          <w:p>
            <w:r>
              <w:rPr>
                <w:b/>
                <w:color w:val="1F4D78"/>
              </w:rPr>
              <w:t>What it means</w:t>
            </w:r>
          </w:p>
        </w:tc>
      </w:tr>
      <w:tr>
        <w:trPr>
          <w:cantSplit w:val="true"/>
        </w:trPr>
        <w:tc>
          <w:tcPr>
            <w:tcW w:type="dxa" w:w="2520"/>
            <w:tcMar>
              <w:top w:w="80" w:type="dxa"/>
              <w:start w:w="120" w:type="dxa"/>
              <w:bottom w:w="80" w:type="dxa"/>
              <w:end w:w="120" w:type="dxa"/>
            </w:tcMar>
            <w:vAlign w:val="center"/>
          </w:tcPr>
          <w:p>
            <w:r>
              <w:rPr>
                <w:b/>
                <w:color w:val="5028E0"/>
              </w:rPr>
              <w:t>4 workspaces</w:t>
            </w:r>
          </w:p>
        </w:tc>
        <w:tc>
          <w:tcPr>
            <w:tcW w:type="dxa" w:w="6840"/>
            <w:tcMar>
              <w:top w:w="80" w:type="dxa"/>
              <w:start w:w="120" w:type="dxa"/>
              <w:bottom w:w="80" w:type="dxa"/>
              <w:end w:w="120" w:type="dxa"/>
            </w:tcMar>
            <w:vAlign w:val="center"/>
          </w:tcPr>
          <w:p>
            <w:r>
              <w:t>Provider, Company, Candidate and Business Development</w:t>
            </w:r>
          </w:p>
        </w:tc>
      </w:tr>
      <w:tr>
        <w:trPr>
          <w:cantSplit w:val="true"/>
        </w:trPr>
        <w:tc>
          <w:tcPr>
            <w:tcW w:type="dxa" w:w="2520"/>
            <w:tcMar>
              <w:top w:w="80" w:type="dxa"/>
              <w:start w:w="120" w:type="dxa"/>
              <w:bottom w:w="80" w:type="dxa"/>
              <w:end w:w="120" w:type="dxa"/>
            </w:tcMar>
            <w:vAlign w:val="center"/>
          </w:tcPr>
          <w:p>
            <w:r>
              <w:rPr>
                <w:b/>
                <w:color w:val="5028E0"/>
              </w:rPr>
              <w:t>30 + 5 days</w:t>
            </w:r>
          </w:p>
        </w:tc>
        <w:tc>
          <w:tcPr>
            <w:tcW w:type="dxa" w:w="6840"/>
            <w:tcMar>
              <w:top w:w="80" w:type="dxa"/>
              <w:start w:w="120" w:type="dxa"/>
              <w:bottom w:w="80" w:type="dxa"/>
              <w:end w:w="120" w:type="dxa"/>
            </w:tcMar>
            <w:vAlign w:val="center"/>
          </w:tcPr>
          <w:p>
            <w:r>
              <w:t>Active posting window plus existing-applicant edit grace</w:t>
            </w:r>
          </w:p>
        </w:tc>
      </w:tr>
      <w:tr>
        <w:trPr>
          <w:cantSplit w:val="true"/>
        </w:trPr>
        <w:tc>
          <w:tcPr>
            <w:tcW w:type="dxa" w:w="2520"/>
            <w:tcMar>
              <w:top w:w="80" w:type="dxa"/>
              <w:start w:w="120" w:type="dxa"/>
              <w:bottom w:w="80" w:type="dxa"/>
              <w:end w:w="120" w:type="dxa"/>
            </w:tcMar>
            <w:vAlign w:val="center"/>
          </w:tcPr>
          <w:p>
            <w:r>
              <w:rPr>
                <w:b/>
                <w:color w:val="5028E0"/>
              </w:rPr>
              <w:t>32–40 questions</w:t>
            </w:r>
          </w:p>
        </w:tc>
        <w:tc>
          <w:tcPr>
            <w:tcW w:type="dxa" w:w="6840"/>
            <w:tcMar>
              <w:top w:w="80" w:type="dxa"/>
              <w:start w:w="120" w:type="dxa"/>
              <w:bottom w:w="80" w:type="dxa"/>
              <w:end w:w="120" w:type="dxa"/>
            </w:tcMar>
            <w:vAlign w:val="center"/>
          </w:tcPr>
          <w:p>
            <w:r>
              <w:t>Grade-sized technical bank plus 20 PFI questions</w:t>
            </w:r>
          </w:p>
        </w:tc>
      </w:tr>
      <w:tr>
        <w:trPr>
          <w:cantSplit w:val="true"/>
        </w:trPr>
        <w:tc>
          <w:tcPr>
            <w:tcW w:type="dxa" w:w="2520"/>
            <w:tcMar>
              <w:top w:w="80" w:type="dxa"/>
              <w:start w:w="120" w:type="dxa"/>
              <w:bottom w:w="80" w:type="dxa"/>
              <w:end w:w="120" w:type="dxa"/>
            </w:tcMar>
            <w:vAlign w:val="center"/>
          </w:tcPr>
          <w:p>
            <w:r>
              <w:rPr>
                <w:b/>
                <w:color w:val="5028E0"/>
              </w:rPr>
              <w:t>No exposed scores</w:t>
            </w:r>
          </w:p>
        </w:tc>
        <w:tc>
          <w:tcPr>
            <w:tcW w:type="dxa" w:w="6840"/>
            <w:tcMar>
              <w:top w:w="80" w:type="dxa"/>
              <w:start w:w="120" w:type="dxa"/>
              <w:bottom w:w="80" w:type="dxa"/>
              <w:end w:w="120" w:type="dxa"/>
            </w:tcMar>
            <w:vAlign w:val="center"/>
          </w:tcPr>
          <w:p>
            <w:r>
              <w:t>Qualitative labels replace numeric AI ratings</w:t>
            </w:r>
          </w:p>
        </w:tc>
      </w:tr>
    </w:tbl>
    <w:p>
      <w:pPr>
        <w:pStyle w:val="SourceNote"/>
      </w:pPr>
      <w:r>
        <w:t>Source: PickReady implementation snapshot.</w:t>
      </w:r>
    </w:p>
    <w:p>
      <w:pPr>
        <w:shd w:fill="F0ECFF"/>
        <w:spacing w:after="80"/>
        <w:ind w:left="180" w:right="180"/>
      </w:pPr>
      <w:r>
        <w:rPr>
          <w:b/>
        </w:rPr>
        <w:t>Status:</w:t>
      </w:r>
      <w:r>
        <w:t xml:space="preserve"> Implementation-aligned product specification</w:t>
      </w:r>
    </w:p>
    <w:p>
      <w:pPr>
        <w:shd w:fill="F0ECFF"/>
        <w:spacing w:before="0" w:after="80"/>
        <w:ind w:left="180" w:right="180"/>
      </w:pPr>
      <w:r>
        <w:rPr>
          <w:b/>
        </w:rPr>
        <w:t>Authority:</w:t>
      </w:r>
      <w:r>
        <w:t xml:space="preserve"> The running source code, database migrations, tests, and user interfaces in this repository</w:t>
      </w:r>
    </w:p>
    <w:p>
      <w:pPr>
        <w:pStyle w:val="Heading1"/>
      </w:pPr>
      <w:r>
        <w:t>1. Purpose and source-of-truth policy</w:t>
      </w:r>
    </w:p>
    <w:p>
      <w:r>
        <w:t>This document defines the product that is implemented today. It replaces earlier product briefs, questionnaires, hand-offs, prompts, and feature specifications.</w:t>
      </w:r>
    </w:p>
    <w:p>
      <w:r>
        <w:t>When this document and the implementation differ, the implementation is authoritative until both are deliberately changed together. A feature is part of the product only when it is reachable through the current application or an active API/background workflow. Dormant compatibility code is not presented as an active user capability.</w:t>
      </w:r>
    </w:p>
    <w:p>
      <w:pPr>
        <w:pStyle w:val="Heading1"/>
      </w:pPr>
      <w:r>
        <w:t>2. Product overview</w:t>
      </w:r>
    </w:p>
    <w:p>
      <w:r>
        <w:t>PickReady is a multi-tenant hiring operations platform. It brings job creation, candidate intake, resume matching, structured assessment, functional reporting, hiring-pipeline communication, employer verification, subscription credits, and business-development operations into one system.</w:t>
      </w:r>
    </w:p>
    <w:p>
      <w:r>
        <w:t>The product serves four workspaces:</w:t>
      </w:r>
    </w:p>
    <w:tbl>
      <w:tblPr>
        <w:tblStyle w:val="TableGrid"/>
        <w:tblW w:type="auto" w:w="0"/>
        <w:jc w:val="center"/>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shd w:fill="E8EEF5"/>
            <w:tcMar>
              <w:top w:w="80" w:type="dxa"/>
              <w:start w:w="120" w:type="dxa"/>
              <w:bottom w:w="80" w:type="dxa"/>
              <w:end w:w="120" w:type="dxa"/>
            </w:tcMar>
            <w:vAlign w:val="center"/>
          </w:tcPr>
          <w:p>
            <w:r>
              <w:rPr>
                <w:b/>
                <w:color w:val="1F4D78"/>
              </w:rPr>
              <w:t>Workspace</w:t>
            </w:r>
          </w:p>
        </w:tc>
        <w:tc>
          <w:tcPr>
            <w:tcW w:type="dxa" w:w="3120"/>
            <w:shd w:fill="E8EEF5"/>
            <w:tcMar>
              <w:top w:w="80" w:type="dxa"/>
              <w:start w:w="120" w:type="dxa"/>
              <w:bottom w:w="80" w:type="dxa"/>
              <w:end w:w="120" w:type="dxa"/>
            </w:tcMar>
            <w:vAlign w:val="center"/>
          </w:tcPr>
          <w:p>
            <w:r>
              <w:rPr>
                <w:b/>
                <w:color w:val="1F4D78"/>
              </w:rPr>
              <w:t>Primary users</w:t>
            </w:r>
          </w:p>
        </w:tc>
        <w:tc>
          <w:tcPr>
            <w:tcW w:type="dxa" w:w="3120"/>
            <w:shd w:fill="E8EEF5"/>
            <w:tcMar>
              <w:top w:w="80" w:type="dxa"/>
              <w:start w:w="120" w:type="dxa"/>
              <w:bottom w:w="80" w:type="dxa"/>
              <w:end w:w="120" w:type="dxa"/>
            </w:tcMar>
            <w:vAlign w:val="center"/>
          </w:tcPr>
          <w:p>
            <w:r>
              <w:rPr>
                <w:b/>
                <w:color w:val="1F4D78"/>
              </w:rPr>
              <w:t>Purpose</w:t>
            </w:r>
          </w:p>
        </w:tc>
      </w:tr>
      <w:tr>
        <w:trPr>
          <w:cantSplit w:val="true"/>
        </w:trPr>
        <w:tc>
          <w:tcPr>
            <w:tcW w:type="dxa" w:w="3120"/>
            <w:tcMar>
              <w:top w:w="80" w:type="dxa"/>
              <w:start w:w="120" w:type="dxa"/>
              <w:bottom w:w="80" w:type="dxa"/>
              <w:end w:w="120" w:type="dxa"/>
            </w:tcMar>
            <w:vAlign w:val="center"/>
          </w:tcPr>
          <w:p>
            <w:r>
              <w:t>Provider</w:t>
            </w:r>
          </w:p>
        </w:tc>
        <w:tc>
          <w:tcPr>
            <w:tcW w:type="dxa" w:w="3120"/>
            <w:tcMar>
              <w:top w:w="80" w:type="dxa"/>
              <w:start w:w="120" w:type="dxa"/>
              <w:bottom w:w="80" w:type="dxa"/>
              <w:end w:w="120" w:type="dxa"/>
            </w:tcMar>
            <w:vAlign w:val="center"/>
          </w:tcPr>
          <w:p>
            <w:r>
              <w:t>PickReady owner and provider operators</w:t>
            </w:r>
          </w:p>
        </w:tc>
        <w:tc>
          <w:tcPr>
            <w:tcW w:type="dxa" w:w="3120"/>
            <w:tcMar>
              <w:top w:w="80" w:type="dxa"/>
              <w:start w:w="120" w:type="dxa"/>
              <w:bottom w:w="80" w:type="dxa"/>
              <w:end w:w="120" w:type="dxa"/>
            </w:tcMar>
            <w:vAlign w:val="center"/>
          </w:tcPr>
          <w:p>
            <w:r>
              <w:t>Provision customers and BD accounts, inspect customer health, and view portfolio billing</w:t>
            </w:r>
          </w:p>
        </w:tc>
      </w:tr>
      <w:tr>
        <w:trPr>
          <w:cantSplit w:val="true"/>
        </w:trPr>
        <w:tc>
          <w:tcPr>
            <w:tcW w:type="dxa" w:w="3120"/>
            <w:tcMar>
              <w:top w:w="80" w:type="dxa"/>
              <w:start w:w="120" w:type="dxa"/>
              <w:bottom w:w="80" w:type="dxa"/>
              <w:end w:w="120" w:type="dxa"/>
            </w:tcMar>
            <w:vAlign w:val="center"/>
          </w:tcPr>
          <w:p>
            <w:r>
              <w:t>Company</w:t>
            </w:r>
          </w:p>
        </w:tc>
        <w:tc>
          <w:tcPr>
            <w:tcW w:type="dxa" w:w="3120"/>
            <w:tcMar>
              <w:top w:w="80" w:type="dxa"/>
              <w:start w:w="120" w:type="dxa"/>
              <w:bottom w:w="80" w:type="dxa"/>
              <w:end w:w="120" w:type="dxa"/>
            </w:tcMar>
            <w:vAlign w:val="center"/>
          </w:tcPr>
          <w:p>
            <w:r>
              <w:t>Company administrators, HR managers, recruiters, and hiring managers</w:t>
            </w:r>
          </w:p>
        </w:tc>
        <w:tc>
          <w:tcPr>
            <w:tcW w:type="dxa" w:w="3120"/>
            <w:tcMar>
              <w:top w:w="80" w:type="dxa"/>
              <w:start w:w="120" w:type="dxa"/>
              <w:bottom w:w="80" w:type="dxa"/>
              <w:end w:w="120" w:type="dxa"/>
            </w:tcMar>
            <w:vAlign w:val="center"/>
          </w:tcPr>
          <w:p>
            <w:r>
              <w:t>Run jobs, candidate review, assessments, compliance, staff, billing, and hiring decisions</w:t>
            </w:r>
          </w:p>
        </w:tc>
      </w:tr>
      <w:tr>
        <w:trPr>
          <w:cantSplit w:val="true"/>
        </w:trPr>
        <w:tc>
          <w:tcPr>
            <w:tcW w:type="dxa" w:w="3120"/>
            <w:tcMar>
              <w:top w:w="80" w:type="dxa"/>
              <w:start w:w="120" w:type="dxa"/>
              <w:bottom w:w="80" w:type="dxa"/>
              <w:end w:w="120" w:type="dxa"/>
            </w:tcMar>
            <w:vAlign w:val="center"/>
          </w:tcPr>
          <w:p>
            <w:r>
              <w:t>Candidate</w:t>
            </w:r>
          </w:p>
        </w:tc>
        <w:tc>
          <w:tcPr>
            <w:tcW w:type="dxa" w:w="3120"/>
            <w:tcMar>
              <w:top w:w="80" w:type="dxa"/>
              <w:start w:w="120" w:type="dxa"/>
              <w:bottom w:w="80" w:type="dxa"/>
              <w:end w:w="120" w:type="dxa"/>
            </w:tcMar>
            <w:vAlign w:val="center"/>
          </w:tcPr>
          <w:p>
            <w:r>
              <w:t>Job applicants and sourced candidates</w:t>
            </w:r>
          </w:p>
        </w:tc>
        <w:tc>
          <w:tcPr>
            <w:tcW w:type="dxa" w:w="3120"/>
            <w:tcMar>
              <w:top w:w="80" w:type="dxa"/>
              <w:start w:w="120" w:type="dxa"/>
              <w:bottom w:w="80" w:type="dxa"/>
              <w:end w:w="120" w:type="dxa"/>
            </w:tcMar>
            <w:vAlign w:val="center"/>
          </w:tcPr>
          <w:p>
            <w:r>
              <w:t>Maintain a reusable profile and resume, apply for jobs, complete invited assessments, and track applications</w:t>
            </w:r>
          </w:p>
        </w:tc>
      </w:tr>
      <w:tr>
        <w:trPr>
          <w:cantSplit w:val="true"/>
        </w:trPr>
        <w:tc>
          <w:tcPr>
            <w:tcW w:type="dxa" w:w="3120"/>
            <w:tcMar>
              <w:top w:w="80" w:type="dxa"/>
              <w:start w:w="120" w:type="dxa"/>
              <w:bottom w:w="80" w:type="dxa"/>
              <w:end w:w="120" w:type="dxa"/>
            </w:tcMar>
            <w:vAlign w:val="center"/>
          </w:tcPr>
          <w:p>
            <w:r>
              <w:t>Business development</w:t>
            </w:r>
          </w:p>
        </w:tc>
        <w:tc>
          <w:tcPr>
            <w:tcW w:type="dxa" w:w="3120"/>
            <w:tcMar>
              <w:top w:w="80" w:type="dxa"/>
              <w:start w:w="120" w:type="dxa"/>
              <w:bottom w:w="80" w:type="dxa"/>
              <w:end w:w="120" w:type="dxa"/>
            </w:tcMar>
            <w:vAlign w:val="center"/>
          </w:tcPr>
          <w:p>
            <w:r>
              <w:t>PickReady BD users</w:t>
            </w:r>
          </w:p>
        </w:tc>
        <w:tc>
          <w:tcPr>
            <w:tcW w:type="dxa" w:w="3120"/>
            <w:tcMar>
              <w:top w:w="80" w:type="dxa"/>
              <w:start w:w="120" w:type="dxa"/>
              <w:bottom w:w="80" w:type="dxa"/>
              <w:end w:w="120" w:type="dxa"/>
            </w:tcMar>
            <w:vAlign w:val="center"/>
          </w:tcPr>
          <w:p>
            <w:r>
              <w:t>Manage personal and social leads, run AI-assisted reach, and convert signed prospects into customers</w:t>
            </w:r>
          </w:p>
        </w:tc>
      </w:tr>
    </w:tbl>
    <w:p>
      <w:pPr>
        <w:pStyle w:val="SourceNote"/>
      </w:pPr>
      <w:r>
        <w:t>Source: PickReady source code and database migrations.</w:t>
      </w:r>
    </w:p>
    <w:p>
      <w:r>
        <w:t>The public website explains the platform and pricing and provides entry points for registration, login, public job applications, outreach responses, and employer verification.</w:t>
      </w:r>
    </w:p>
    <w:p>
      <w:pPr>
        <w:pStyle w:val="Heading1"/>
      </w:pPr>
      <w:r>
        <w:t>3. Product principles</w:t>
      </w:r>
    </w:p>
    <w:p>
      <w:pPr>
        <w:numPr>
          <w:ilvl w:val="0"/>
          <w:numId w:val="11"/>
        </w:numPr>
        <w:spacing w:after="80" w:line="300" w:lineRule="auto"/>
      </w:pPr>
      <w:r>
        <w:rPr>
          <w:b/>
        </w:rPr>
        <w:t>The job remains the hiring anchor.</w:t>
      </w:r>
      <w:r>
        <w:t xml:space="preserve"> Candidate ranking, assessment content, reports, and workflow actions are scoped to a job.</w:t>
      </w:r>
    </w:p>
    <w:p>
      <w:pPr>
        <w:numPr>
          <w:ilvl w:val="0"/>
          <w:numId w:val="11"/>
        </w:numPr>
        <w:spacing w:after="80" w:line="300" w:lineRule="auto"/>
      </w:pPr>
      <w:r>
        <w:rPr>
          <w:b/>
        </w:rPr>
        <w:t>AI assists; deterministic rules protect continuity.</w:t>
      </w:r>
      <w:r>
        <w:t xml:space="preserve"> AI generates and evaluates content, while validation, fixed rubrics, fallbacks, and auditable workflow states keep operations usable when a provider is unavailable.</w:t>
      </w:r>
    </w:p>
    <w:p>
      <w:pPr>
        <w:numPr>
          <w:ilvl w:val="0"/>
          <w:numId w:val="11"/>
        </w:numPr>
        <w:spacing w:after="80" w:line="300" w:lineRule="auto"/>
      </w:pPr>
      <w:r>
        <w:rPr>
          <w:b/>
        </w:rPr>
        <w:t>Candidate-facing scores remain qualitative.</w:t>
      </w:r>
      <w:r>
        <w:t xml:space="preserve"> Numeric model scores are stored for computation but are not exposed in candidate tables, emails, or reports.</w:t>
      </w:r>
    </w:p>
    <w:p>
      <w:pPr>
        <w:numPr>
          <w:ilvl w:val="0"/>
          <w:numId w:val="11"/>
        </w:numPr>
        <w:spacing w:after="80" w:line="300" w:lineRule="auto"/>
      </w:pPr>
      <w:r>
        <w:rPr>
          <w:b/>
        </w:rPr>
        <w:t>Access is capability-based.</w:t>
      </w:r>
      <w:r>
        <w:t xml:space="preserve"> Tenant roles provide defaults, and individual grants or revocations refine what a staff member can do.</w:t>
      </w:r>
    </w:p>
    <w:p>
      <w:pPr>
        <w:numPr>
          <w:ilvl w:val="0"/>
          <w:numId w:val="11"/>
        </w:numPr>
        <w:spacing w:after="80" w:line="300" w:lineRule="auto"/>
      </w:pPr>
      <w:r>
        <w:rPr>
          <w:b/>
        </w:rPr>
        <w:t>Records are retained through lifecycle changes.</w:t>
      </w:r>
      <w:r>
        <w:t xml:space="preserve"> Jobs, customers, and related profiles are archived rather than destructively removed.</w:t>
      </w:r>
    </w:p>
    <w:p>
      <w:pPr>
        <w:numPr>
          <w:ilvl w:val="0"/>
          <w:numId w:val="11"/>
        </w:numPr>
        <w:spacing w:after="80" w:line="300" w:lineRule="auto"/>
      </w:pPr>
      <w:r>
        <w:rPr>
          <w:b/>
        </w:rPr>
        <w:t>Billing is event-ledger based.</w:t>
      </w:r>
      <w:r>
        <w:t xml:space="preserve"> Every credit mutation is append-only and idempotent.</w:t>
      </w:r>
    </w:p>
    <w:p>
      <w:pPr>
        <w:numPr>
          <w:ilvl w:val="0"/>
          <w:numId w:val="11"/>
        </w:numPr>
        <w:spacing w:after="80" w:line="300" w:lineRule="auto"/>
      </w:pPr>
      <w:r>
        <w:rPr>
          <w:b/>
        </w:rPr>
        <w:t>Tenant isolation is a product invariant.</w:t>
      </w:r>
      <w:r>
        <w:t xml:space="preserve"> Company data is isolated at both application and PostgreSQL row-policy levels.</w:t>
      </w:r>
    </w:p>
    <w:p>
      <w:pPr>
        <w:pStyle w:val="Heading1"/>
      </w:pPr>
      <w:r>
        <w:t>4. Users, roles, and permissions</w:t>
      </w:r>
    </w:p>
    <w:p>
      <w:pPr>
        <w:pStyle w:val="Heading2"/>
      </w:pPr>
      <w:r>
        <w:t>4.1 Provider owner</w:t>
      </w:r>
    </w:p>
    <w:p>
      <w:r>
        <w:t>The provider owner can:</w:t>
      </w:r>
    </w:p>
    <w:p>
      <w:pPr>
        <w:numPr>
          <w:ilvl w:val="0"/>
          <w:numId w:val="10"/>
        </w:numPr>
        <w:spacing w:after="80" w:line="300" w:lineRule="auto"/>
      </w:pPr>
      <w:r>
        <w:t>view and search customers;</w:t>
      </w:r>
    </w:p>
    <w:p>
      <w:pPr>
        <w:numPr>
          <w:ilvl w:val="0"/>
          <w:numId w:val="10"/>
        </w:numPr>
        <w:spacing w:after="80" w:line="300" w:lineRule="auto"/>
      </w:pPr>
      <w:r>
        <w:t>inspect customer analytics, status, subscription, and credit balance;</w:t>
      </w:r>
    </w:p>
    <w:p>
      <w:pPr>
        <w:numPr>
          <w:ilvl w:val="0"/>
          <w:numId w:val="10"/>
        </w:numPr>
        <w:spacing w:after="80" w:line="300" w:lineRule="auto"/>
      </w:pPr>
      <w:r>
        <w:t>edit a limited provider-owned customer record: industry, website, and provider notes;</w:t>
      </w:r>
    </w:p>
    <w:p>
      <w:pPr>
        <w:numPr>
          <w:ilvl w:val="0"/>
          <w:numId w:val="10"/>
        </w:numPr>
        <w:spacing w:after="80" w:line="300" w:lineRule="auto"/>
      </w:pPr>
      <w:r>
        <w:t>archive or restore a customer;</w:t>
      </w:r>
    </w:p>
    <w:p>
      <w:pPr>
        <w:numPr>
          <w:ilvl w:val="0"/>
          <w:numId w:val="10"/>
        </w:numPr>
        <w:spacing w:after="80" w:line="300" w:lineRule="auto"/>
      </w:pPr>
      <w:r>
        <w:t>view customer compliance documents without changing them;</w:t>
      </w:r>
    </w:p>
    <w:p>
      <w:pPr>
        <w:numPr>
          <w:ilvl w:val="0"/>
          <w:numId w:val="10"/>
        </w:numPr>
        <w:spacing w:after="80" w:line="300" w:lineRule="auto"/>
      </w:pPr>
      <w:r>
        <w:t>provision, edit, enable, or disable BD accounts;</w:t>
      </w:r>
    </w:p>
    <w:p>
      <w:pPr>
        <w:numPr>
          <w:ilvl w:val="0"/>
          <w:numId w:val="10"/>
        </w:numPr>
        <w:spacing w:after="80" w:line="300" w:lineRule="auto"/>
      </w:pPr>
      <w:r>
        <w:t>view portfolio billing; and</w:t>
      </w:r>
    </w:p>
    <w:p>
      <w:pPr>
        <w:numPr>
          <w:ilvl w:val="0"/>
          <w:numId w:val="10"/>
        </w:numPr>
        <w:spacing w:after="80" w:line="300" w:lineRule="auto"/>
      </w:pPr>
      <w:r>
        <w:t>access owner settings.</w:t>
      </w:r>
    </w:p>
    <w:p>
      <w:r>
        <w:t>The provider cannot use the provider interface to change customer contacts, staff, or compliance records.</w:t>
      </w:r>
    </w:p>
    <w:p>
      <w:pPr>
        <w:pStyle w:val="Heading2"/>
      </w:pPr>
      <w:r>
        <w:t>4.2 Company administrator</w:t>
      </w:r>
    </w:p>
    <w:p>
      <w:r>
        <w:t xml:space="preserve">The </w:t>
      </w:r>
      <w:r>
        <w:rPr>
          <w:rFonts w:ascii="Consolas" w:hAnsi="Consolas"/>
          <w:color w:val="1F4D78"/>
          <w:sz w:val="19"/>
        </w:rPr>
        <w:t>client</w:t>
      </w:r>
      <w:r>
        <w:t xml:space="preserve"> account is the company administrator. It has company-wide responsibility for jobs, company information, staff, compliance, and billing, subject to its capabilities.</w:t>
      </w:r>
    </w:p>
    <w:p>
      <w:pPr>
        <w:pStyle w:val="Heading2"/>
      </w:pPr>
      <w:r>
        <w:t>4.3 Company staff</w:t>
      </w:r>
    </w:p>
    <w:p>
      <w:r>
        <w:t>Operational staff roles are:</w:t>
      </w:r>
    </w:p>
    <w:p>
      <w:pPr>
        <w:numPr>
          <w:ilvl w:val="0"/>
          <w:numId w:val="10"/>
        </w:numPr>
        <w:spacing w:after="80" w:line="300" w:lineRule="auto"/>
      </w:pPr>
      <w:r>
        <w:t>HR Manager</w:t>
      </w:r>
    </w:p>
    <w:p>
      <w:pPr>
        <w:numPr>
          <w:ilvl w:val="0"/>
          <w:numId w:val="10"/>
        </w:numPr>
        <w:spacing w:after="80" w:line="300" w:lineRule="auto"/>
      </w:pPr>
      <w:r>
        <w:t>Recruiter</w:t>
      </w:r>
    </w:p>
    <w:p>
      <w:pPr>
        <w:numPr>
          <w:ilvl w:val="0"/>
          <w:numId w:val="10"/>
        </w:numPr>
        <w:spacing w:after="80" w:line="300" w:lineRule="auto"/>
      </w:pPr>
      <w:r>
        <w:t>Hiring Manager</w:t>
      </w:r>
    </w:p>
    <w:p>
      <w:r>
        <w:t>These roles use the same core operating areas: Jobs, Company Profile, Dashboard, and Settings. Access to Staff, Company Page, Compliance, Billing, and other protected actions is capability-controlled rather than inferred only from the role name.</w:t>
      </w:r>
    </w:p>
    <w:p>
      <w:r>
        <w:t>Company administrators can invite staff with a seven-day invitation token, resend invitations, disable or reactivate users, and add user-specific capability grants or revocations. A company can have at most five active Hiring Managers; HR Manager and Recruiter seats are not capped by this rule.</w:t>
      </w:r>
    </w:p>
    <w:p>
      <w:pPr>
        <w:pStyle w:val="Heading2"/>
      </w:pPr>
      <w:r>
        <w:t>4.4 Candidate</w:t>
      </w:r>
    </w:p>
    <w:p>
      <w:r>
        <w:t>A candidate owns a reusable profile and a main resume. A candidate can discover open jobs, apply through a public job link, view applications, edit an application during the configured grace period, and complete an assessment only after receiving an invitation.</w:t>
      </w:r>
    </w:p>
    <w:p>
      <w:pPr>
        <w:pStyle w:val="Heading2"/>
      </w:pPr>
      <w:r>
        <w:t>4.5 Business-development user</w:t>
      </w:r>
    </w:p>
    <w:p>
      <w:r>
        <w:t>BD access is governed by:</w:t>
      </w:r>
    </w:p>
    <w:p>
      <w:pPr>
        <w:numPr>
          <w:ilvl w:val="0"/>
          <w:numId w:val="10"/>
        </w:numPr>
        <w:spacing w:after="80" w:line="300" w:lineRule="auto"/>
      </w:pPr>
      <w:r>
        <w:rPr>
          <w:rFonts w:ascii="Consolas" w:hAnsi="Consolas"/>
          <w:color w:val="1F4D78"/>
          <w:sz w:val="19"/>
        </w:rPr>
        <w:t>manage_bd_leads</w:t>
      </w:r>
    </w:p>
    <w:p>
      <w:pPr>
        <w:numPr>
          <w:ilvl w:val="0"/>
          <w:numId w:val="10"/>
        </w:numPr>
        <w:spacing w:after="80" w:line="300" w:lineRule="auto"/>
      </w:pPr>
      <w:r>
        <w:rPr>
          <w:rFonts w:ascii="Consolas" w:hAnsi="Consolas"/>
          <w:color w:val="1F4D78"/>
          <w:sz w:val="19"/>
        </w:rPr>
        <w:t>view_bd_customers</w:t>
      </w:r>
    </w:p>
    <w:p>
      <w:pPr>
        <w:numPr>
          <w:ilvl w:val="0"/>
          <w:numId w:val="10"/>
        </w:numPr>
        <w:spacing w:after="80" w:line="300" w:lineRule="auto"/>
      </w:pPr>
      <w:r>
        <w:rPr>
          <w:rFonts w:ascii="Consolas" w:hAnsi="Consolas"/>
          <w:color w:val="1F4D78"/>
          <w:sz w:val="19"/>
        </w:rPr>
        <w:t>use_ai_reach</w:t>
      </w:r>
    </w:p>
    <w:p>
      <w:r>
        <w:t>BD users do not operate inside a customer tenant and cannot access company hiring data through their BD role.</w:t>
      </w:r>
    </w:p>
    <w:p>
      <w:pPr>
        <w:pStyle w:val="Heading1"/>
      </w:pPr>
      <w:r>
        <w:t>5. End-to-end hiring journey</w:t>
      </w:r>
    </w:p>
    <w:p>
      <w:pPr>
        <w:spacing w:before="120" w:after="160"/>
        <w:jc w:val="center"/>
      </w:pPr>
      <w:r>
        <w:drawing>
          <wp:inline xmlns:a="http://schemas.openxmlformats.org/drawingml/2006/main" xmlns:pic="http://schemas.openxmlformats.org/drawingml/2006/picture">
            <wp:extent cx="5897880" cy="2359152"/>
            <wp:docPr id="2" name="Picture 2" title="End-to-end hiring journey" descr="Six-stage product workflow from job draft through hiring decision."/>
            <wp:cNvGraphicFramePr>
              <a:graphicFrameLocks noChangeAspect="1"/>
            </wp:cNvGraphicFramePr>
            <a:graphic>
              <a:graphicData uri="http://schemas.openxmlformats.org/drawingml/2006/picture">
                <pic:pic>
                  <pic:nvPicPr>
                    <pic:cNvPr id="0" name="product-flow.png"/>
                    <pic:cNvPicPr/>
                  </pic:nvPicPr>
                  <pic:blipFill>
                    <a:blip r:embed="rId9"/>
                    <a:stretch>
                      <a:fillRect/>
                    </a:stretch>
                  </pic:blipFill>
                  <pic:spPr>
                    <a:xfrm>
                      <a:off x="0" y="0"/>
                      <a:ext cx="5897880" cy="2359152"/>
                    </a:xfrm>
                    <a:prstGeom prst="rect"/>
                  </pic:spPr>
                </pic:pic>
              </a:graphicData>
            </a:graphic>
          </wp:inline>
        </w:drawing>
      </w:r>
    </w:p>
    <w:p>
      <w:pPr>
        <w:pStyle w:val="SourceNote"/>
        <w:jc w:val="center"/>
      </w:pPr>
      <w:r>
        <w:t>Figure: Six-stage product workflow from job draft through hiring decision. Source: PickReady implementation.</w:t>
      </w:r>
    </w:p>
    <w:p>
      <w:pPr>
        <w:pStyle w:val="Heading1"/>
      </w:pPr>
      <w:r>
        <w:t>6. Company setup and administration</w:t>
      </w:r>
    </w:p>
    <w:p>
      <w:pPr>
        <w:pStyle w:val="Heading2"/>
      </w:pPr>
      <w:r>
        <w:t>6.1 Company profile</w:t>
      </w:r>
    </w:p>
    <w:p>
      <w:r>
        <w:t>The company maintains structured content for:</w:t>
      </w:r>
    </w:p>
    <w:p>
      <w:pPr>
        <w:numPr>
          <w:ilvl w:val="0"/>
          <w:numId w:val="10"/>
        </w:numPr>
        <w:spacing w:after="80" w:line="300" w:lineRule="auto"/>
      </w:pPr>
      <w:r>
        <w:t>About the company</w:t>
      </w:r>
    </w:p>
    <w:p>
      <w:pPr>
        <w:numPr>
          <w:ilvl w:val="0"/>
          <w:numId w:val="10"/>
        </w:numPr>
        <w:spacing w:after="80" w:line="300" w:lineRule="auto"/>
      </w:pPr>
      <w:r>
        <w:t>Work life</w:t>
      </w:r>
    </w:p>
    <w:p>
      <w:pPr>
        <w:numPr>
          <w:ilvl w:val="0"/>
          <w:numId w:val="10"/>
        </w:numPr>
        <w:spacing w:after="80" w:line="300" w:lineRule="auto"/>
      </w:pPr>
      <w:r>
        <w:t>Benefits</w:t>
      </w:r>
    </w:p>
    <w:p>
      <w:r>
        <w:t>These sections are snapshotted into a job so that a published job retains the company context used when it was created. A recruiter can override the snapshot for an individual job.</w:t>
      </w:r>
    </w:p>
    <w:p>
      <w:pPr>
        <w:pStyle w:val="Heading2"/>
      </w:pPr>
      <w:r>
        <w:t>6.2 Company Page</w:t>
      </w:r>
    </w:p>
    <w:p>
      <w:r>
        <w:t>A separate company-facing content area stores the candidate-oriented company brief, culture, policies, and benefits. It remains available to authorized company users.</w:t>
      </w:r>
    </w:p>
    <w:p>
      <w:pPr>
        <w:pStyle w:val="Heading2"/>
      </w:pPr>
      <w:r>
        <w:t>6.3 Compliance</w:t>
      </w:r>
    </w:p>
    <w:p>
      <w:r>
        <w:t>The company can upload, replace, download, and remove these seven records:</w:t>
      </w:r>
    </w:p>
    <w:p>
      <w:pPr>
        <w:numPr>
          <w:ilvl w:val="0"/>
          <w:numId w:val="12"/>
        </w:numPr>
        <w:spacing w:after="80" w:line="300" w:lineRule="auto"/>
      </w:pPr>
      <w:r>
        <w:t>GSTIN certificate</w:t>
      </w:r>
    </w:p>
    <w:p>
      <w:pPr>
        <w:numPr>
          <w:ilvl w:val="0"/>
          <w:numId w:val="12"/>
        </w:numPr>
        <w:spacing w:after="80" w:line="300" w:lineRule="auto"/>
      </w:pPr>
      <w:r>
        <w:t>PAN</w:t>
      </w:r>
    </w:p>
    <w:p>
      <w:pPr>
        <w:numPr>
          <w:ilvl w:val="0"/>
          <w:numId w:val="12"/>
        </w:numPr>
        <w:spacing w:after="80" w:line="300" w:lineRule="auto"/>
      </w:pPr>
      <w:r>
        <w:t>TAN</w:t>
      </w:r>
    </w:p>
    <w:p>
      <w:pPr>
        <w:numPr>
          <w:ilvl w:val="0"/>
          <w:numId w:val="12"/>
        </w:numPr>
        <w:spacing w:after="80" w:line="300" w:lineRule="auto"/>
      </w:pPr>
      <w:r>
        <w:t>Bank account details</w:t>
      </w:r>
    </w:p>
    <w:p>
      <w:pPr>
        <w:numPr>
          <w:ilvl w:val="0"/>
          <w:numId w:val="12"/>
        </w:numPr>
        <w:spacing w:after="80" w:line="300" w:lineRule="auto"/>
      </w:pPr>
      <w:r>
        <w:t>Signed agreement or schedule</w:t>
      </w:r>
    </w:p>
    <w:p>
      <w:pPr>
        <w:numPr>
          <w:ilvl w:val="0"/>
          <w:numId w:val="12"/>
        </w:numPr>
        <w:spacing w:after="80" w:line="300" w:lineRule="auto"/>
      </w:pPr>
      <w:r>
        <w:t>Purchase order</w:t>
      </w:r>
    </w:p>
    <w:p>
      <w:pPr>
        <w:numPr>
          <w:ilvl w:val="0"/>
          <w:numId w:val="12"/>
        </w:numPr>
        <w:spacing w:after="80" w:line="300" w:lineRule="auto"/>
      </w:pPr>
      <w:r>
        <w:t>MSME document</w:t>
      </w:r>
    </w:p>
    <w:p>
      <w:r>
        <w:t>Provider users have read-only visibility. The current implementation stores compliance files through Cloudinary.</w:t>
      </w:r>
    </w:p>
    <w:p>
      <w:pPr>
        <w:pStyle w:val="Heading2"/>
      </w:pPr>
      <w:r>
        <w:t>6.4 Dashboard</w:t>
      </w:r>
    </w:p>
    <w:p>
      <w:r>
        <w:t>The company dashboard provides operational summaries derived from job, candidate, assessment, and pipeline data. Dashboard materialized data is refreshed by a recurring background task approximately every five minutes.</w:t>
      </w:r>
    </w:p>
    <w:p>
      <w:pPr>
        <w:pStyle w:val="Heading1"/>
      </w:pPr>
      <w:r>
        <w:t>7. Job creation and publishing</w:t>
      </w:r>
    </w:p>
    <w:p>
      <w:pPr>
        <w:pStyle w:val="Heading2"/>
      </w:pPr>
      <w:r>
        <w:t>7.1 Required job information</w:t>
      </w:r>
    </w:p>
    <w:p>
      <w:r>
        <w:t>A job includes:</w:t>
      </w:r>
    </w:p>
    <w:p>
      <w:pPr>
        <w:numPr>
          <w:ilvl w:val="0"/>
          <w:numId w:val="10"/>
        </w:numPr>
        <w:spacing w:after="80" w:line="300" w:lineRule="auto"/>
      </w:pPr>
      <w:r>
        <w:t>title and structured role inputs;</w:t>
      </w:r>
    </w:p>
    <w:p>
      <w:pPr>
        <w:numPr>
          <w:ilvl w:val="0"/>
          <w:numId w:val="10"/>
        </w:numPr>
        <w:spacing w:after="80" w:line="300" w:lineRule="auto"/>
      </w:pPr>
      <w:r>
        <w:t>one grade: Non-managerial, Managerial, Leadership, or CXO;</w:t>
      </w:r>
    </w:p>
    <w:p>
      <w:pPr>
        <w:numPr>
          <w:ilvl w:val="0"/>
          <w:numId w:val="10"/>
        </w:numPr>
        <w:spacing w:after="80" w:line="300" w:lineRule="auto"/>
      </w:pPr>
      <w:r>
        <w:t>minimum and maximum experience;</w:t>
      </w:r>
    </w:p>
    <w:p>
      <w:pPr>
        <w:numPr>
          <w:ilvl w:val="0"/>
          <w:numId w:val="10"/>
        </w:numPr>
        <w:spacing w:after="80" w:line="300" w:lineRule="auto"/>
      </w:pPr>
      <w:r>
        <w:t>a stable reporting-to option, with an Other path;</w:t>
      </w:r>
    </w:p>
    <w:p>
      <w:pPr>
        <w:numPr>
          <w:ilvl w:val="0"/>
          <w:numId w:val="10"/>
        </w:numPr>
        <w:spacing w:after="80" w:line="300" w:lineRule="auto"/>
      </w:pPr>
      <w:r>
        <w:t>compensation information;</w:t>
      </w:r>
    </w:p>
    <w:p>
      <w:pPr>
        <w:numPr>
          <w:ilvl w:val="0"/>
          <w:numId w:val="10"/>
        </w:numPr>
        <w:spacing w:after="80" w:line="300" w:lineRule="auto"/>
      </w:pPr>
      <w:r>
        <w:t>company-profile snapshots; and</w:t>
      </w:r>
    </w:p>
    <w:p>
      <w:pPr>
        <w:numPr>
          <w:ilvl w:val="0"/>
          <w:numId w:val="10"/>
        </w:numPr>
        <w:spacing w:after="80" w:line="300" w:lineRule="auto"/>
      </w:pPr>
      <w:r>
        <w:t>a canonical Markdown job description.</w:t>
      </w:r>
    </w:p>
    <w:p>
      <w:pPr>
        <w:pStyle w:val="Heading2"/>
      </w:pPr>
      <w:r>
        <w:t>7.2 Drafting workflow</w:t>
      </w:r>
    </w:p>
    <w:p>
      <w:r>
        <w:t>The current company interface follows this sequence:</w:t>
      </w:r>
    </w:p>
    <w:p>
      <w:pPr>
        <w:numPr>
          <w:ilvl w:val="0"/>
          <w:numId w:val="13"/>
        </w:numPr>
        <w:spacing w:after="80" w:line="300" w:lineRule="auto"/>
      </w:pPr>
      <w:r>
        <w:t>The recruiter enters the structured job inputs.</w:t>
      </w:r>
    </w:p>
    <w:p>
      <w:pPr>
        <w:numPr>
          <w:ilvl w:val="0"/>
          <w:numId w:val="13"/>
        </w:numPr>
        <w:spacing w:after="80" w:line="300" w:lineRule="auto"/>
      </w:pPr>
      <w:r>
        <w:t>AI produces a unified Markdown job description.</w:t>
      </w:r>
    </w:p>
    <w:p>
      <w:pPr>
        <w:numPr>
          <w:ilvl w:val="0"/>
          <w:numId w:val="13"/>
        </w:numPr>
        <w:spacing w:after="80" w:line="300" w:lineRule="auto"/>
      </w:pPr>
      <w:r>
        <w:t>The recruiter edits the generated Markdown.</w:t>
      </w:r>
    </w:p>
    <w:p>
      <w:pPr>
        <w:numPr>
          <w:ilvl w:val="0"/>
          <w:numId w:val="13"/>
        </w:numPr>
        <w:spacing w:after="80" w:line="300" w:lineRule="auto"/>
      </w:pPr>
      <w:r>
        <w:t>The recruiter explicitly publishes the job.</w:t>
      </w:r>
    </w:p>
    <w:p>
      <w:pPr>
        <w:numPr>
          <w:ilvl w:val="0"/>
          <w:numId w:val="13"/>
        </w:numPr>
        <w:spacing w:after="80" w:line="300" w:lineRule="auto"/>
      </w:pPr>
      <w:r>
        <w:t>The application returns a public link that can be shared on external channels.</w:t>
      </w:r>
    </w:p>
    <w:p>
      <w:r>
        <w:t>The canonical job description is Markdown. A derived JSON representation is maintained for compatibility and downstream processing. The description remains editable.</w:t>
      </w:r>
    </w:p>
    <w:p>
      <w:r>
        <w:t>The generated document uses seven stable sections:</w:t>
      </w:r>
    </w:p>
    <w:p>
      <w:pPr>
        <w:numPr>
          <w:ilvl w:val="0"/>
          <w:numId w:val="10"/>
        </w:numPr>
        <w:spacing w:after="80" w:line="300" w:lineRule="auto"/>
      </w:pPr>
      <w:r>
        <w:t>Description</w:t>
      </w:r>
    </w:p>
    <w:p>
      <w:pPr>
        <w:numPr>
          <w:ilvl w:val="0"/>
          <w:numId w:val="10"/>
        </w:numPr>
        <w:spacing w:after="80" w:line="300" w:lineRule="auto"/>
      </w:pPr>
      <w:r>
        <w:t>Role</w:t>
      </w:r>
    </w:p>
    <w:p>
      <w:pPr>
        <w:numPr>
          <w:ilvl w:val="0"/>
          <w:numId w:val="10"/>
        </w:numPr>
        <w:spacing w:after="80" w:line="300" w:lineRule="auto"/>
      </w:pPr>
      <w:r>
        <w:t>Responsibilities</w:t>
      </w:r>
    </w:p>
    <w:p>
      <w:pPr>
        <w:numPr>
          <w:ilvl w:val="0"/>
          <w:numId w:val="10"/>
        </w:numPr>
        <w:spacing w:after="80" w:line="300" w:lineRule="auto"/>
      </w:pPr>
      <w:r>
        <w:t>Accountabilities</w:t>
      </w:r>
    </w:p>
    <w:p>
      <w:pPr>
        <w:numPr>
          <w:ilvl w:val="0"/>
          <w:numId w:val="10"/>
        </w:numPr>
        <w:spacing w:after="80" w:line="300" w:lineRule="auto"/>
      </w:pPr>
      <w:r>
        <w:t>Education</w:t>
      </w:r>
    </w:p>
    <w:p>
      <w:pPr>
        <w:numPr>
          <w:ilvl w:val="0"/>
          <w:numId w:val="10"/>
        </w:numPr>
        <w:spacing w:after="80" w:line="300" w:lineRule="auto"/>
      </w:pPr>
      <w:r>
        <w:t>Skills</w:t>
      </w:r>
    </w:p>
    <w:p>
      <w:pPr>
        <w:numPr>
          <w:ilvl w:val="0"/>
          <w:numId w:val="10"/>
        </w:numPr>
        <w:spacing w:after="80" w:line="300" w:lineRule="auto"/>
      </w:pPr>
      <w:r>
        <w:t>Experience</w:t>
      </w:r>
    </w:p>
    <w:p>
      <w:pPr>
        <w:pStyle w:val="Heading2"/>
      </w:pPr>
      <w:r>
        <w:t>7.3 Question generation</w:t>
      </w:r>
    </w:p>
    <w:p>
      <w:r>
        <w:t>Creating a draft queues generation of a grade- and job-specific technical question bank. The service validates generated questions and tops up missing content deterministically.</w:t>
      </w:r>
    </w:p>
    <w:p>
      <w:r>
        <w:t>Creating a draft queues generation of two things from the JD: the technical question bank, and the job's PPI evaluation framework. This is the one manual step in an otherwise fully automated pipeline. The job stays in Questions Pending Review until a recruiter has finalised both halves; approving one does not open the job. Until it is Ready for Candidates, nobody can be invited and no candidate can open the conversation. A job left unapproved past 24 to 48 hours triggers one reminder to everyone who could approve it. This reinstates a gate that was removed on 25 July 2026.</w:t>
      </w:r>
    </w:p>
    <w:p>
      <w:pPr>
        <w:pStyle w:val="Heading2"/>
      </w:pPr>
      <w:r>
        <w:t>7.4 Posting lifecycle</w:t>
      </w:r>
    </w:p>
    <w:p>
      <w:r>
        <w:t>Each publication has:</w:t>
      </w:r>
    </w:p>
    <w:p>
      <w:pPr>
        <w:numPr>
          <w:ilvl w:val="0"/>
          <w:numId w:val="10"/>
        </w:numPr>
        <w:spacing w:after="80" w:line="300" w:lineRule="auto"/>
      </w:pPr>
      <w:r>
        <w:t>a 30-day active application window;</w:t>
      </w:r>
    </w:p>
    <w:p>
      <w:pPr>
        <w:numPr>
          <w:ilvl w:val="0"/>
          <w:numId w:val="10"/>
        </w:numPr>
        <w:spacing w:after="80" w:line="300" w:lineRule="auto"/>
      </w:pPr>
      <w:r>
        <w:t>a five-day grace period for existing applicants to edit an application; and</w:t>
      </w:r>
    </w:p>
    <w:p>
      <w:pPr>
        <w:numPr>
          <w:ilvl w:val="0"/>
          <w:numId w:val="10"/>
        </w:numPr>
        <w:spacing w:after="80" w:line="300" w:lineRule="auto"/>
      </w:pPr>
      <w:r>
        <w:t>an expired state after the grace period.</w:t>
      </w:r>
    </w:p>
    <w:p>
      <w:r>
        <w:t>After the active window:</w:t>
      </w:r>
    </w:p>
    <w:p>
      <w:pPr>
        <w:numPr>
          <w:ilvl w:val="0"/>
          <w:numId w:val="10"/>
        </w:numPr>
        <w:spacing w:after="80" w:line="300" w:lineRule="auto"/>
      </w:pPr>
      <w:r>
        <w:t>the public job link no longer accepts or displays the job;</w:t>
      </w:r>
    </w:p>
    <w:p>
      <w:pPr>
        <w:numPr>
          <w:ilvl w:val="0"/>
          <w:numId w:val="10"/>
        </w:numPr>
        <w:spacing w:after="80" w:line="300" w:lineRule="auto"/>
      </w:pPr>
      <w:r>
        <w:t>a candidate who did not previously apply cannot create a new application;</w:t>
      </w:r>
    </w:p>
    <w:p>
      <w:pPr>
        <w:numPr>
          <w:ilvl w:val="0"/>
          <w:numId w:val="10"/>
        </w:numPr>
        <w:spacing w:after="80" w:line="300" w:lineRule="auto"/>
      </w:pPr>
      <w:r>
        <w:t>an existing applicant can edit only during the five-day grace period.</w:t>
      </w:r>
    </w:p>
    <w:p>
      <w:r>
        <w:t xml:space="preserve">A job can be renewed only after its active window has closed. Renewal starts a new 30-day window. Candidates from the earlier posting remain visible as </w:t>
      </w:r>
      <w:r>
        <w:rPr>
          <w:b/>
        </w:rPr>
        <w:t>Old Profiles</w:t>
      </w:r>
      <w:r>
        <w:t xml:space="preserve">, while profiles from the renewed window are </w:t>
      </w:r>
      <w:r>
        <w:rPr>
          <w:b/>
        </w:rPr>
        <w:t>New Profiles</w:t>
      </w:r>
      <w:r>
        <w:t>.</w:t>
      </w:r>
    </w:p>
    <w:p>
      <w:r>
        <w:t>Jobs can be archived and restored without deleting their candidate or history records.</w:t>
      </w:r>
    </w:p>
    <w:p>
      <w:pPr>
        <w:pStyle w:val="Heading1"/>
      </w:pPr>
      <w:r>
        <w:t>8. Candidate acquisition and application</w:t>
      </w:r>
    </w:p>
    <w:p>
      <w:r>
        <w:t>Candidate-job links identify how the candidate entered the workflow:</w:t>
      </w:r>
    </w:p>
    <w:p>
      <w:pPr>
        <w:numPr>
          <w:ilvl w:val="0"/>
          <w:numId w:val="10"/>
        </w:numPr>
        <w:spacing w:after="80" w:line="300" w:lineRule="auto"/>
      </w:pPr>
      <w:r>
        <w:rPr>
          <w:b/>
        </w:rPr>
        <w:t>Applied:</w:t>
      </w:r>
      <w:r>
        <w:t xml:space="preserve"> submitted through the public job link;</w:t>
      </w:r>
    </w:p>
    <w:p>
      <w:pPr>
        <w:numPr>
          <w:ilvl w:val="0"/>
          <w:numId w:val="10"/>
        </w:numPr>
        <w:spacing w:after="80" w:line="300" w:lineRule="auto"/>
      </w:pPr>
      <w:r>
        <w:rPr>
          <w:b/>
        </w:rPr>
        <w:t>Sourced:</w:t>
      </w:r>
      <w:r>
        <w:t xml:space="preserve"> entered through an external outreach link; or</w:t>
      </w:r>
    </w:p>
    <w:p>
      <w:pPr>
        <w:numPr>
          <w:ilvl w:val="0"/>
          <w:numId w:val="10"/>
        </w:numPr>
        <w:spacing w:after="80" w:line="300" w:lineRule="auto"/>
      </w:pPr>
      <w:r>
        <w:rPr>
          <w:b/>
        </w:rPr>
        <w:t>Databank:</w:t>
      </w:r>
      <w:r>
        <w:t xml:space="preserve"> uploaded from the company’s existing candidate data.</w:t>
      </w:r>
    </w:p>
    <w:p>
      <w:r>
        <w:t>The company can upload up to 25 resume files in one batch. Each file is validated independently, partial success is returned, and parsing/matching work is queued once for the accepted batch.</w:t>
      </w:r>
    </w:p>
    <w:p>
      <w:pPr>
        <w:pStyle w:val="Heading1"/>
      </w:pPr>
      <w:r>
        <w:t>9. Candidate profile and resume</w:t>
      </w:r>
    </w:p>
    <w:p>
      <w:pPr>
        <w:pStyle w:val="Heading2"/>
      </w:pPr>
      <w:r>
        <w:t>9.1 Reusable profile</w:t>
      </w:r>
    </w:p>
    <w:p>
      <w:r>
        <w:t>The candidate profile is a structured form with these sections:</w:t>
      </w:r>
    </w:p>
    <w:p>
      <w:pPr>
        <w:numPr>
          <w:ilvl w:val="0"/>
          <w:numId w:val="10"/>
        </w:numPr>
        <w:spacing w:after="80" w:line="300" w:lineRule="auto"/>
      </w:pPr>
      <w:r>
        <w:t>personal information;</w:t>
      </w:r>
    </w:p>
    <w:p>
      <w:pPr>
        <w:numPr>
          <w:ilvl w:val="0"/>
          <w:numId w:val="10"/>
        </w:numPr>
        <w:spacing w:after="80" w:line="300" w:lineRule="auto"/>
      </w:pPr>
      <w:r>
        <w:t>education history;</w:t>
      </w:r>
    </w:p>
    <w:p>
      <w:pPr>
        <w:numPr>
          <w:ilvl w:val="0"/>
          <w:numId w:val="10"/>
        </w:numPr>
        <w:spacing w:after="80" w:line="300" w:lineRule="auto"/>
      </w:pPr>
      <w:r>
        <w:t>work experience;</w:t>
      </w:r>
    </w:p>
    <w:p>
      <w:pPr>
        <w:numPr>
          <w:ilvl w:val="0"/>
          <w:numId w:val="10"/>
        </w:numPr>
        <w:spacing w:after="80" w:line="300" w:lineRule="auto"/>
      </w:pPr>
      <w:r>
        <w:t>compensation and availability;</w:t>
      </w:r>
    </w:p>
    <w:p>
      <w:pPr>
        <w:numPr>
          <w:ilvl w:val="0"/>
          <w:numId w:val="10"/>
        </w:numPr>
        <w:spacing w:after="80" w:line="300" w:lineRule="auto"/>
      </w:pPr>
      <w:r>
        <w:t>document availability and onboarding readiness;</w:t>
      </w:r>
    </w:p>
    <w:p>
      <w:pPr>
        <w:numPr>
          <w:ilvl w:val="0"/>
          <w:numId w:val="10"/>
        </w:numPr>
        <w:spacing w:after="80" w:line="300" w:lineRule="auto"/>
      </w:pPr>
      <w:r>
        <w:t>resume confirmation; and</w:t>
      </w:r>
    </w:p>
    <w:p>
      <w:pPr>
        <w:numPr>
          <w:ilvl w:val="0"/>
          <w:numId w:val="10"/>
        </w:numPr>
        <w:spacing w:after="80" w:line="300" w:lineRule="auto"/>
      </w:pPr>
      <w:r>
        <w:t>candidate declaration.</w:t>
      </w:r>
    </w:p>
    <w:p>
      <w:r>
        <w:t>The current minimum completion gate requires:</w:t>
      </w:r>
    </w:p>
    <w:p>
      <w:pPr>
        <w:numPr>
          <w:ilvl w:val="0"/>
          <w:numId w:val="10"/>
        </w:numPr>
        <w:spacing w:after="80" w:line="300" w:lineRule="auto"/>
      </w:pPr>
      <w:r>
        <w:t>current city;</w:t>
      </w:r>
    </w:p>
    <w:p>
      <w:pPr>
        <w:numPr>
          <w:ilvl w:val="0"/>
          <w:numId w:val="10"/>
        </w:numPr>
        <w:spacing w:after="80" w:line="300" w:lineRule="auto"/>
      </w:pPr>
      <w:r>
        <w:t>total experience;</w:t>
      </w:r>
    </w:p>
    <w:p>
      <w:pPr>
        <w:numPr>
          <w:ilvl w:val="0"/>
          <w:numId w:val="10"/>
        </w:numPr>
        <w:spacing w:after="80" w:line="300" w:lineRule="auto"/>
      </w:pPr>
      <w:r>
        <w:t>accepted declaration; and</w:t>
      </w:r>
    </w:p>
    <w:p>
      <w:pPr>
        <w:numPr>
          <w:ilvl w:val="0"/>
          <w:numId w:val="10"/>
        </w:numPr>
        <w:spacing w:after="80" w:line="300" w:lineRule="auto"/>
      </w:pPr>
      <w:r>
        <w:t>declaration full name.</w:t>
      </w:r>
    </w:p>
    <w:p>
      <w:r>
        <w:t>Validation is six mandatory fields on the application form itself, submitted with the resume before the candidate proceeds: current CTC, expected CTC, notice period, earliest joining date, document readiness, and an open-text answer to “Why does this role interest you?”. Nothing scores, interprets or judges them; the report shows them exactly as typed, and the recruiter decides whether stated interest is genuine. Capturing them before the conversation lets a recruiter filter out candidates plainly outside the budget or notice window before any assessment credit is spent. They live on the application, not the reusable profile, because current CTC and notice period are answered per opportunity.</w:t>
      </w:r>
    </w:p>
    <w:p>
      <w:pPr>
        <w:pStyle w:val="Heading2"/>
      </w:pPr>
      <w:r>
        <w:t>9.2 Resume handling</w:t>
      </w:r>
    </w:p>
    <w:p>
      <w:r>
        <w:t>Candidates can upload or reuse their main resume. PDF and DOCX resumes are supported. A content hash avoids storing duplicate content. Files are accessed through authenticated preview or download endpoints. DOCX preview is converted to safe, monochrome HTML, with download as a fallback.</w:t>
      </w:r>
    </w:p>
    <w:p>
      <w:pPr>
        <w:pStyle w:val="Heading2"/>
      </w:pPr>
      <w:r>
        <w:t>9.3 Application snapshot</w:t>
      </w:r>
    </w:p>
    <w:p>
      <w:r>
        <w:t>Every application snapshots the candidate’s profile form and resume. Later edits to the reusable profile do not silently rewrite the historical application.</w:t>
      </w:r>
    </w:p>
    <w:p>
      <w:pPr>
        <w:pStyle w:val="Heading1"/>
      </w:pPr>
      <w:r>
        <w:t>10. Matching and candidate review</w:t>
      </w:r>
    </w:p>
    <w:p>
      <w:pPr>
        <w:pStyle w:val="Heading2"/>
      </w:pPr>
      <w:r>
        <w:t>10.1 Candidate retrieval</w:t>
      </w:r>
    </w:p>
    <w:p>
      <w:r>
        <w:t>Matching combines:</w:t>
      </w:r>
    </w:p>
    <w:p>
      <w:pPr>
        <w:numPr>
          <w:ilvl w:val="0"/>
          <w:numId w:val="10"/>
        </w:numPr>
        <w:spacing w:after="80" w:line="300" w:lineRule="auto"/>
      </w:pPr>
      <w:r>
        <w:t>pgvector semantic similarity;</w:t>
      </w:r>
    </w:p>
    <w:p>
      <w:pPr>
        <w:numPr>
          <w:ilvl w:val="0"/>
          <w:numId w:val="10"/>
        </w:numPr>
        <w:spacing w:after="80" w:line="300" w:lineRule="auto"/>
      </w:pPr>
      <w:r>
        <w:t>PostgreSQL full-text keyword search; and</w:t>
      </w:r>
    </w:p>
    <w:p>
      <w:pPr>
        <w:numPr>
          <w:ilvl w:val="0"/>
          <w:numId w:val="10"/>
        </w:numPr>
        <w:spacing w:after="80" w:line="300" w:lineRule="auto"/>
      </w:pPr>
      <w:r>
        <w:t>candidates already linked to the job.</w:t>
      </w:r>
    </w:p>
    <w:p>
      <w:r>
        <w:t>The retrieved set is reranked by an LLM. When an AI provider is unavailable, deterministic retrieval remains available and does not fabricate a top recommendation.</w:t>
      </w:r>
    </w:p>
    <w:p>
      <w:pPr>
        <w:pStyle w:val="Heading2"/>
      </w:pPr>
      <w:r>
        <w:t>10.2 Matching dimensions</w:t>
      </w:r>
    </w:p>
    <w:p>
      <w:r>
        <w:t>The internal composite uses:</w:t>
      </w:r>
    </w:p>
    <w:tbl>
      <w:tblPr>
        <w:tblStyle w:val="TableGrid"/>
        <w:tblW w:type="auto" w:w="0"/>
        <w:jc w:val="center"/>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E8EEF5"/>
            <w:tcMar>
              <w:top w:w="80" w:type="dxa"/>
              <w:start w:w="120" w:type="dxa"/>
              <w:bottom w:w="80" w:type="dxa"/>
              <w:end w:w="120" w:type="dxa"/>
            </w:tcMar>
            <w:vAlign w:val="center"/>
          </w:tcPr>
          <w:p>
            <w:r>
              <w:rPr>
                <w:b/>
                <w:color w:val="1F4D78"/>
              </w:rPr>
              <w:t>Matching parameter</w:t>
            </w:r>
          </w:p>
        </w:tc>
        <w:tc>
          <w:tcPr>
            <w:tcW w:type="dxa" w:w="4680"/>
            <w:shd w:fill="E8EEF5"/>
            <w:tcMar>
              <w:top w:w="80" w:type="dxa"/>
              <w:start w:w="120" w:type="dxa"/>
              <w:bottom w:w="80" w:type="dxa"/>
              <w:end w:w="120" w:type="dxa"/>
            </w:tcMar>
            <w:vAlign w:val="center"/>
          </w:tcPr>
          <w:p>
            <w:r>
              <w:rPr>
                <w:b/>
                <w:color w:val="1F4D78"/>
              </w:rPr>
              <w:t>Weight</w:t>
            </w:r>
          </w:p>
        </w:tc>
      </w:tr>
      <w:tr>
        <w:trPr>
          <w:cantSplit w:val="true"/>
        </w:trPr>
        <w:tc>
          <w:tcPr>
            <w:tcW w:type="dxa" w:w="4680"/>
            <w:tcMar>
              <w:top w:w="80" w:type="dxa"/>
              <w:start w:w="120" w:type="dxa"/>
              <w:bottom w:w="80" w:type="dxa"/>
              <w:end w:w="120" w:type="dxa"/>
            </w:tcMar>
            <w:vAlign w:val="center"/>
          </w:tcPr>
          <w:p>
            <w:r>
              <w:t>Skills</w:t>
            </w:r>
          </w:p>
        </w:tc>
        <w:tc>
          <w:tcPr>
            <w:tcW w:type="dxa" w:w="4680"/>
            <w:tcMar>
              <w:top w:w="80" w:type="dxa"/>
              <w:start w:w="120" w:type="dxa"/>
              <w:bottom w:w="80" w:type="dxa"/>
              <w:end w:w="120" w:type="dxa"/>
            </w:tcMar>
            <w:vAlign w:val="center"/>
          </w:tcPr>
          <w:p>
            <w:r>
              <w:t>None; judged on its own terms</w:t>
            </w:r>
          </w:p>
        </w:tc>
      </w:tr>
      <w:tr>
        <w:trPr>
          <w:cantSplit w:val="true"/>
        </w:trPr>
        <w:tc>
          <w:tcPr>
            <w:tcW w:type="dxa" w:w="4680"/>
            <w:tcMar>
              <w:top w:w="80" w:type="dxa"/>
              <w:start w:w="120" w:type="dxa"/>
              <w:bottom w:w="80" w:type="dxa"/>
              <w:end w:w="120" w:type="dxa"/>
            </w:tcMar>
            <w:vAlign w:val="center"/>
          </w:tcPr>
          <w:p>
            <w:r>
              <w:t>Experience</w:t>
            </w:r>
          </w:p>
        </w:tc>
        <w:tc>
          <w:tcPr>
            <w:tcW w:type="dxa" w:w="4680"/>
            <w:tcMar>
              <w:top w:w="80" w:type="dxa"/>
              <w:start w:w="120" w:type="dxa"/>
              <w:bottom w:w="80" w:type="dxa"/>
              <w:end w:w="120" w:type="dxa"/>
            </w:tcMar>
            <w:vAlign w:val="center"/>
          </w:tcPr>
          <w:p>
            <w:r>
              <w:t>None; judged on its own terms</w:t>
            </w:r>
          </w:p>
        </w:tc>
      </w:tr>
      <w:tr>
        <w:trPr>
          <w:cantSplit w:val="true"/>
        </w:trPr>
        <w:tc>
          <w:tcPr>
            <w:tcW w:type="dxa" w:w="4680"/>
            <w:tcMar>
              <w:top w:w="80" w:type="dxa"/>
              <w:start w:w="120" w:type="dxa"/>
              <w:bottom w:w="80" w:type="dxa"/>
              <w:end w:w="120" w:type="dxa"/>
            </w:tcMar>
            <w:vAlign w:val="center"/>
          </w:tcPr>
          <w:p>
            <w:r>
              <w:t>Role and responsibility alignment</w:t>
            </w:r>
          </w:p>
        </w:tc>
        <w:tc>
          <w:tcPr>
            <w:tcW w:type="dxa" w:w="4680"/>
            <w:tcMar>
              <w:top w:w="80" w:type="dxa"/>
              <w:start w:w="120" w:type="dxa"/>
              <w:bottom w:w="80" w:type="dxa"/>
              <w:end w:w="120" w:type="dxa"/>
            </w:tcMar>
            <w:vAlign w:val="center"/>
          </w:tcPr>
          <w:p>
            <w:r>
              <w:t>None; judged on its own terms</w:t>
            </w:r>
          </w:p>
        </w:tc>
      </w:tr>
      <w:tr>
        <w:trPr>
          <w:cantSplit w:val="true"/>
        </w:trPr>
        <w:tc>
          <w:tcPr>
            <w:tcW w:type="dxa" w:w="4680"/>
            <w:tcMar>
              <w:top w:w="80" w:type="dxa"/>
              <w:start w:w="120" w:type="dxa"/>
              <w:bottom w:w="80" w:type="dxa"/>
              <w:end w:w="120" w:type="dxa"/>
            </w:tcMar>
            <w:vAlign w:val="center"/>
          </w:tcPr>
          <w:p>
            <w:r>
              <w:t>Education</w:t>
            </w:r>
          </w:p>
        </w:tc>
        <w:tc>
          <w:tcPr>
            <w:tcW w:type="dxa" w:w="4680"/>
            <w:tcMar>
              <w:top w:w="80" w:type="dxa"/>
              <w:start w:w="120" w:type="dxa"/>
              <w:bottom w:w="80" w:type="dxa"/>
              <w:end w:w="120" w:type="dxa"/>
            </w:tcMar>
            <w:vAlign w:val="center"/>
          </w:tcPr>
          <w:p>
            <w:r>
              <w:t>None; judged on its own terms</w:t>
            </w:r>
          </w:p>
        </w:tc>
      </w:tr>
    </w:tbl>
    <w:p>
      <w:pPr>
        <w:pStyle w:val="SourceNote"/>
      </w:pPr>
      <w:r>
        <w:t>Source: PickReady source code and database migrations.</w:t>
      </w:r>
    </w:p>
    <w:p>
      <w:r>
        <w:t>Compensation data is removed before matching prompts are sent to an AI provider.</w:t>
      </w:r>
    </w:p>
    <w:p>
      <w:r>
        <w:t>Prior positive outcomes for the same company can weakly influence reranking. These patterns are PII-minimized, and the current job description remains authoritative.</w:t>
      </w:r>
    </w:p>
    <w:p>
      <w:pPr>
        <w:pStyle w:val="Heading2"/>
      </w:pPr>
      <w:r>
        <w:t>10.3 Ranking order</w:t>
      </w:r>
    </w:p>
    <w:p>
      <w:r>
        <w:t>Candidate review order changes by grade:</w:t>
      </w:r>
    </w:p>
    <w:p>
      <w:pPr>
        <w:numPr>
          <w:ilvl w:val="0"/>
          <w:numId w:val="10"/>
        </w:numPr>
        <w:spacing w:after="80" w:line="300" w:lineRule="auto"/>
      </w:pPr>
      <w:r>
        <w:t>Non-managerial: skills, experience, then behavioral fit.</w:t>
      </w:r>
    </w:p>
    <w:p>
      <w:pPr>
        <w:numPr>
          <w:ilvl w:val="0"/>
          <w:numId w:val="10"/>
        </w:numPr>
        <w:spacing w:after="80" w:line="300" w:lineRule="auto"/>
      </w:pPr>
      <w:r>
        <w:t>Managerial, Leadership, and CXO: skills, behavioral fit, then experience.</w:t>
      </w:r>
    </w:p>
    <w:p>
      <w:r>
        <w:t>The company candidate table is paginated at 25 rows. It provides source and old/new profile labels, qualitative match labels, five concise comments, resume viewing, reports, team reviews, and permitted status actions.</w:t>
      </w:r>
    </w:p>
    <w:p>
      <w:pPr>
        <w:pStyle w:val="Heading2"/>
      </w:pPr>
      <w:r>
        <w:t>10.4 Rating policy</w:t>
      </w:r>
    </w:p>
    <w:p>
      <w:r>
        <w:t>Numeric scores are internal and never cross the API boundary. Every rated item in the product is shown as one of exactly four words: Highly Matching, Matching, Moderately Matching, Not Matching. These replaced the earlier pair of five-label scales, which had to be kept in step by hand and gave a reader no way to know that a “High” and a “Matching” meant the same thing. Boundaries are inclusive upward. The four matching parameters carry no mathematical weightage: each is judged on its own terms.</w:t>
      </w:r>
    </w:p>
    <w:p>
      <w:pPr>
        <w:pStyle w:val="Heading1"/>
      </w:pPr>
      <w:r>
        <w:t>11. Assessments</w:t>
      </w:r>
    </w:p>
    <w:p>
      <w:pPr>
        <w:pStyle w:val="Heading2"/>
      </w:pPr>
      <w:r>
        <w:t>11.1 Invitation gate</w:t>
      </w:r>
    </w:p>
    <w:p>
      <w:r>
        <w:t>Applying does not automatically start an assessment. A recruiter selects candidate links and sends assessment invitations. The batch endpoint supports up to 200 selections and reports skipped candidates with reasons.</w:t>
      </w:r>
    </w:p>
    <w:p>
      <w:r>
        <w:t>An uninvited candidate receives no assessment access. The first accepted start changes the workflow to In Progress.</w:t>
      </w:r>
    </w:p>
    <w:p>
      <w:pPr>
        <w:pStyle w:val="Heading2"/>
      </w:pPr>
      <w:r>
        <w:t>11.2 Assessment composition</w:t>
      </w:r>
    </w:p>
    <w:p>
      <w:r>
        <w:t>One conversation, not two. A single unified conversational agent blends the job's technical bank with the candidate's PPI questions into one natural exchange; the candidate never sees two separate bots. Validation is not asked here at all.</w:t>
      </w:r>
    </w:p>
    <w:tbl>
      <w:tblPr>
        <w:tblStyle w:val="TableGrid"/>
        <w:tblW w:type="auto" w:w="0"/>
        <w:jc w:val="center"/>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shd w:fill="E8EEF5"/>
            <w:tcMar>
              <w:top w:w="80" w:type="dxa"/>
              <w:start w:w="120" w:type="dxa"/>
              <w:bottom w:w="80" w:type="dxa"/>
              <w:end w:w="120" w:type="dxa"/>
            </w:tcMar>
            <w:vAlign w:val="center"/>
          </w:tcPr>
          <w:p>
            <w:r>
              <w:rPr>
                <w:b/>
                <w:color w:val="1F4D78"/>
              </w:rPr>
              <w:t>Job grade</w:t>
            </w:r>
          </w:p>
        </w:tc>
        <w:tc>
          <w:tcPr>
            <w:tcW w:type="dxa" w:w="2340"/>
            <w:shd w:fill="E8EEF5"/>
            <w:tcMar>
              <w:top w:w="80" w:type="dxa"/>
              <w:start w:w="120" w:type="dxa"/>
              <w:bottom w:w="80" w:type="dxa"/>
              <w:end w:w="120" w:type="dxa"/>
            </w:tcMar>
            <w:vAlign w:val="center"/>
          </w:tcPr>
          <w:p>
            <w:r>
              <w:rPr>
                <w:b/>
                <w:color w:val="1F4D78"/>
              </w:rPr>
              <w:t>Technical questions</w:t>
            </w:r>
          </w:p>
        </w:tc>
        <w:tc>
          <w:tcPr>
            <w:tcW w:type="dxa" w:w="2340"/>
            <w:shd w:fill="E8EEF5"/>
            <w:tcMar>
              <w:top w:w="80" w:type="dxa"/>
              <w:start w:w="120" w:type="dxa"/>
              <w:bottom w:w="80" w:type="dxa"/>
              <w:end w:w="120" w:type="dxa"/>
            </w:tcMar>
            <w:vAlign w:val="center"/>
          </w:tcPr>
          <w:p>
            <w:r>
              <w:rPr>
                <w:b/>
                <w:color w:val="1F4D78"/>
              </w:rPr>
              <w:t>PPI questions</w:t>
            </w:r>
          </w:p>
        </w:tc>
        <w:tc>
          <w:tcPr>
            <w:tcW w:type="dxa" w:w="2340"/>
            <w:shd w:fill="E8EEF5"/>
            <w:tcMar>
              <w:top w:w="80" w:type="dxa"/>
              <w:start w:w="120" w:type="dxa"/>
              <w:bottom w:w="80" w:type="dxa"/>
              <w:end w:w="120" w:type="dxa"/>
            </w:tcMar>
            <w:vAlign w:val="center"/>
          </w:tcPr>
          <w:p>
            <w:r>
              <w:rPr>
                <w:b/>
                <w:color w:val="1F4D78"/>
              </w:rPr>
              <w:t>Total</w:t>
            </w:r>
          </w:p>
        </w:tc>
      </w:tr>
      <w:tr>
        <w:trPr>
          <w:cantSplit w:val="true"/>
        </w:trPr>
        <w:tc>
          <w:tcPr>
            <w:tcW w:type="dxa" w:w="2340"/>
            <w:tcMar>
              <w:top w:w="80" w:type="dxa"/>
              <w:start w:w="120" w:type="dxa"/>
              <w:bottom w:w="80" w:type="dxa"/>
              <w:end w:w="120" w:type="dxa"/>
            </w:tcMar>
            <w:vAlign w:val="center"/>
          </w:tcPr>
          <w:p>
            <w:r>
              <w:t>Non-managerial</w:t>
            </w:r>
          </w:p>
        </w:tc>
        <w:tc>
          <w:tcPr>
            <w:tcW w:type="dxa" w:w="2340"/>
            <w:tcMar>
              <w:top w:w="80" w:type="dxa"/>
              <w:start w:w="120" w:type="dxa"/>
              <w:bottom w:w="80" w:type="dxa"/>
              <w:end w:w="120" w:type="dxa"/>
            </w:tcMar>
            <w:vAlign w:val="center"/>
          </w:tcPr>
          <w:p>
            <w:r>
              <w:t>20</w:t>
            </w:r>
          </w:p>
        </w:tc>
        <w:tc>
          <w:tcPr>
            <w:tcW w:type="dxa" w:w="2340"/>
            <w:tcMar>
              <w:top w:w="80" w:type="dxa"/>
              <w:start w:w="120" w:type="dxa"/>
              <w:bottom w:w="80" w:type="dxa"/>
              <w:end w:w="120" w:type="dxa"/>
            </w:tcMar>
            <w:vAlign w:val="center"/>
          </w:tcPr>
          <w:p>
            <w:r>
              <w:t>25</w:t>
            </w:r>
          </w:p>
        </w:tc>
        <w:tc>
          <w:tcPr>
            <w:tcW w:type="dxa" w:w="2340"/>
            <w:tcMar>
              <w:top w:w="80" w:type="dxa"/>
              <w:start w:w="120" w:type="dxa"/>
              <w:bottom w:w="80" w:type="dxa"/>
              <w:end w:w="120" w:type="dxa"/>
            </w:tcMar>
            <w:vAlign w:val="center"/>
          </w:tcPr>
          <w:p>
            <w:r>
              <w:t>45</w:t>
            </w:r>
          </w:p>
        </w:tc>
      </w:tr>
      <w:tr>
        <w:trPr>
          <w:cantSplit w:val="true"/>
        </w:trPr>
        <w:tc>
          <w:tcPr>
            <w:tcW w:type="dxa" w:w="2340"/>
            <w:tcMar>
              <w:top w:w="80" w:type="dxa"/>
              <w:start w:w="120" w:type="dxa"/>
              <w:bottom w:w="80" w:type="dxa"/>
              <w:end w:w="120" w:type="dxa"/>
            </w:tcMar>
            <w:vAlign w:val="center"/>
          </w:tcPr>
          <w:p>
            <w:r>
              <w:t>Managerial</w:t>
            </w:r>
          </w:p>
        </w:tc>
        <w:tc>
          <w:tcPr>
            <w:tcW w:type="dxa" w:w="2340"/>
            <w:tcMar>
              <w:top w:w="80" w:type="dxa"/>
              <w:start w:w="120" w:type="dxa"/>
              <w:bottom w:w="80" w:type="dxa"/>
              <w:end w:w="120" w:type="dxa"/>
            </w:tcMar>
            <w:vAlign w:val="center"/>
          </w:tcPr>
          <w:p>
            <w:r>
              <w:t>17</w:t>
            </w:r>
          </w:p>
        </w:tc>
        <w:tc>
          <w:tcPr>
            <w:tcW w:type="dxa" w:w="2340"/>
            <w:tcMar>
              <w:top w:w="80" w:type="dxa"/>
              <w:start w:w="120" w:type="dxa"/>
              <w:bottom w:w="80" w:type="dxa"/>
              <w:end w:w="120" w:type="dxa"/>
            </w:tcMar>
            <w:vAlign w:val="center"/>
          </w:tcPr>
          <w:p>
            <w:r>
              <w:t>20</w:t>
            </w:r>
          </w:p>
        </w:tc>
        <w:tc>
          <w:tcPr>
            <w:tcW w:type="dxa" w:w="2340"/>
            <w:tcMar>
              <w:top w:w="80" w:type="dxa"/>
              <w:start w:w="120" w:type="dxa"/>
              <w:bottom w:w="80" w:type="dxa"/>
              <w:end w:w="120" w:type="dxa"/>
            </w:tcMar>
            <w:vAlign w:val="center"/>
          </w:tcPr>
          <w:p>
            <w:r>
              <w:t>37</w:t>
            </w:r>
          </w:p>
        </w:tc>
      </w:tr>
      <w:tr>
        <w:trPr>
          <w:cantSplit w:val="true"/>
        </w:trPr>
        <w:tc>
          <w:tcPr>
            <w:tcW w:type="dxa" w:w="2340"/>
            <w:tcMar>
              <w:top w:w="80" w:type="dxa"/>
              <w:start w:w="120" w:type="dxa"/>
              <w:bottom w:w="80" w:type="dxa"/>
              <w:end w:w="120" w:type="dxa"/>
            </w:tcMar>
            <w:vAlign w:val="center"/>
          </w:tcPr>
          <w:p>
            <w:r>
              <w:t>Leadership</w:t>
            </w:r>
          </w:p>
        </w:tc>
        <w:tc>
          <w:tcPr>
            <w:tcW w:type="dxa" w:w="2340"/>
            <w:tcMar>
              <w:top w:w="80" w:type="dxa"/>
              <w:start w:w="120" w:type="dxa"/>
              <w:bottom w:w="80" w:type="dxa"/>
              <w:end w:w="120" w:type="dxa"/>
            </w:tcMar>
            <w:vAlign w:val="center"/>
          </w:tcPr>
          <w:p>
            <w:r>
              <w:t>15</w:t>
            </w:r>
          </w:p>
        </w:tc>
        <w:tc>
          <w:tcPr>
            <w:tcW w:type="dxa" w:w="2340"/>
            <w:tcMar>
              <w:top w:w="80" w:type="dxa"/>
              <w:start w:w="120" w:type="dxa"/>
              <w:bottom w:w="80" w:type="dxa"/>
              <w:end w:w="120" w:type="dxa"/>
            </w:tcMar>
            <w:vAlign w:val="center"/>
          </w:tcPr>
          <w:p>
            <w:r>
              <w:t>15</w:t>
            </w:r>
          </w:p>
        </w:tc>
        <w:tc>
          <w:tcPr>
            <w:tcW w:type="dxa" w:w="2340"/>
            <w:tcMar>
              <w:top w:w="80" w:type="dxa"/>
              <w:start w:w="120" w:type="dxa"/>
              <w:bottom w:w="80" w:type="dxa"/>
              <w:end w:w="120" w:type="dxa"/>
            </w:tcMar>
            <w:vAlign w:val="center"/>
          </w:tcPr>
          <w:p>
            <w:r>
              <w:t>30</w:t>
            </w:r>
          </w:p>
        </w:tc>
      </w:tr>
      <w:tr>
        <w:trPr>
          <w:cantSplit w:val="true"/>
        </w:trPr>
        <w:tc>
          <w:tcPr>
            <w:tcW w:type="dxa" w:w="2340"/>
            <w:tcMar>
              <w:top w:w="80" w:type="dxa"/>
              <w:start w:w="120" w:type="dxa"/>
              <w:bottom w:w="80" w:type="dxa"/>
              <w:end w:w="120" w:type="dxa"/>
            </w:tcMar>
            <w:vAlign w:val="center"/>
          </w:tcPr>
          <w:p>
            <w:r>
              <w:t>CXO</w:t>
            </w:r>
          </w:p>
        </w:tc>
        <w:tc>
          <w:tcPr>
            <w:tcW w:type="dxa" w:w="2340"/>
            <w:tcMar>
              <w:top w:w="80" w:type="dxa"/>
              <w:start w:w="120" w:type="dxa"/>
              <w:bottom w:w="80" w:type="dxa"/>
              <w:end w:w="120" w:type="dxa"/>
            </w:tcMar>
            <w:vAlign w:val="center"/>
          </w:tcPr>
          <w:p>
            <w:r>
              <w:t>12</w:t>
            </w:r>
          </w:p>
        </w:tc>
        <w:tc>
          <w:tcPr>
            <w:tcW w:type="dxa" w:w="2340"/>
            <w:tcMar>
              <w:top w:w="80" w:type="dxa"/>
              <w:start w:w="120" w:type="dxa"/>
              <w:bottom w:w="80" w:type="dxa"/>
              <w:end w:w="120" w:type="dxa"/>
            </w:tcMar>
            <w:vAlign w:val="center"/>
          </w:tcPr>
          <w:p>
            <w:r>
              <w:t>10</w:t>
            </w:r>
          </w:p>
        </w:tc>
        <w:tc>
          <w:tcPr>
            <w:tcW w:type="dxa" w:w="2340"/>
            <w:tcMar>
              <w:top w:w="80" w:type="dxa"/>
              <w:start w:w="120" w:type="dxa"/>
              <w:bottom w:w="80" w:type="dxa"/>
              <w:end w:w="120" w:type="dxa"/>
            </w:tcMar>
            <w:vAlign w:val="center"/>
          </w:tcPr>
          <w:p>
            <w:r>
              <w:t>22</w:t>
            </w:r>
          </w:p>
        </w:tc>
      </w:tr>
    </w:tbl>
    <w:p>
      <w:pPr>
        <w:pStyle w:val="SourceNote"/>
      </w:pPr>
      <w:r>
        <w:t>Source: PickReady source code and database migrations.</w:t>
      </w:r>
    </w:p>
    <w:p>
      <w:r>
        <w:t>The behavioural assessment is PickReady Profile Intelligence (PPI). It replaced the PickReady Functional Index on 30 July 2026. PFI was one fixed dimension set per grade, reused across every job; PPI generates a fresh evaluation framework for every job from that job's own JD: at least five Primary Skills, five Secondary Skills and five Behavioural Competencies, and more when the role's complexity warrants it. The agent never proposes Culture as a Behavioural Competency, because cultural fit cannot be assessed accurately from a single assessment. The framework is fixed per job once the Hiring Manager saves it, which is what makes two candidates' reports comparable; the questions probing it are generated per candidate from their own resume, which is what keeps each conversation relevant. PPI is a first-party framework and is not presented as DISC, MBTI, Hogan, CliftonStrengths, or another licensed psychometric instrument.</w:t>
      </w:r>
    </w:p>
    <w:p>
      <w:r>
        <w:t>Candidates answer one question at a time in a single assessment experience.</w:t>
      </w:r>
    </w:p>
    <w:p>
      <w:pPr>
        <w:pStyle w:val="Heading2"/>
      </w:pPr>
      <w:r>
        <w:t>11.3 Assessment processing</w:t>
      </w:r>
    </w:p>
    <w:p>
      <w:r>
        <w:t>At completion, two independent scoring agents run in parallel and do not wait on each other:</w:t>
      </w:r>
    </w:p>
    <w:p>
      <w:pPr>
        <w:numPr>
          <w:ilvl w:val="0"/>
          <w:numId w:val="10"/>
        </w:numPr>
        <w:spacing w:after="80" w:line="300" w:lineRule="auto"/>
      </w:pPr>
      <w:r>
        <w:t>technical scoring against per-question rubrics;</w:t>
      </w:r>
    </w:p>
    <w:p>
      <w:pPr>
        <w:numPr>
          <w:ilvl w:val="0"/>
          <w:numId w:val="10"/>
        </w:numPr>
        <w:spacing w:after="80" w:line="300" w:lineRule="auto"/>
      </w:pPr>
      <w:r>
        <w:t>PPI scoring against the job's saved Primary Skills, Secondary Skills and Behavioural Competencies.</w:t>
      </w:r>
    </w:p>
    <w:p>
      <w:pPr>
        <w:numPr>
          <w:ilvl w:val="0"/>
          <w:numId w:val="10"/>
        </w:numPr>
        <w:spacing w:after="80" w:line="300" w:lineRule="auto"/>
      </w:pPr>
      <w:r>
        <w:t>Validation needs no scoring agent: it flows from the application form straight into the report.</w:t>
      </w:r>
    </w:p>
    <w:p>
      <w:r>
        <w:t>Report synthesis waits for both scoring agents, then compiles the PPI Assessment Report. Provider fallbacks and the scoring mode are recorded for audit. “Simultaneous” applies to backend scoring only, never to the candidate's experience.</w:t>
      </w:r>
    </w:p>
    <w:p>
      <w:pPr>
        <w:pStyle w:val="Heading2"/>
      </w:pPr>
      <w:r>
        <w:t>11.4 Retake behavior</w:t>
      </w:r>
    </w:p>
    <w:p>
      <w:r>
        <w:t>Every application now runs its own assessment. Report reuse was retired with PPI: the framework and the technical bank both come from each job's own JD, so a prior report grades criteria the new job never used. The six-month classification still runs so the candidate is told why they are answering questions again.</w:t>
      </w:r>
    </w:p>
    <w:p>
      <w:pPr>
        <w:pStyle w:val="Heading1"/>
      </w:pPr>
      <w:r>
        <w:t>12. The PPI Assessment Report</w:t>
      </w:r>
    </w:p>
    <w:p>
      <w:r>
        <w:t>The report is generated after assessment completion and is immutable through the public application API; a retake produces a new report alongside the old one. Every report shows two distinct scores, deliberately kept separate rather than merged: the AI Score, a resume-based snapshot generated before the assessment, and the PPI Assessment, generated after it from the candidate's demonstrated evidence. A close match between the two confirms the resume was accurate; a gap between them is itself useful signal, not a contradiction to hide.</w:t>
      </w:r>
    </w:p>
    <w:p>
      <w:r>
        <w:t>In fixed order, it contains:</w:t>
      </w:r>
    </w:p>
    <w:p>
      <w:pPr>
        <w:numPr>
          <w:ilvl w:val="0"/>
          <w:numId w:val="10"/>
        </w:numPr>
        <w:spacing w:after="80" w:line="300" w:lineRule="auto"/>
      </w:pPr>
      <w:r>
        <w:t>an AI Score: four matching parameters, each with a grade and a 25–30 word remark;</w:t>
      </w:r>
    </w:p>
    <w:p>
      <w:pPr>
        <w:numPr>
          <w:ilvl w:val="0"/>
          <w:numId w:val="10"/>
        </w:numPr>
        <w:spacing w:after="80" w:line="300" w:lineRule="auto"/>
      </w:pPr>
      <w:r>
        <w:t>an Overall Assessment: a grade, a 45–50 word remark, and the Overall radar chart;</w:t>
      </w:r>
    </w:p>
    <w:p>
      <w:pPr>
        <w:numPr>
          <w:ilvl w:val="0"/>
          <w:numId w:val="10"/>
        </w:numPr>
        <w:spacing w:after="80" w:line="300" w:lineRule="auto"/>
      </w:pPr>
      <w:r>
        <w:t>Primary Skills, Secondary Skills and Behavioural Competencies, each entry with a grade and a 45–50 word remark, each section with its own radar chart;</w:t>
      </w:r>
    </w:p>
    <w:p>
      <w:pPr>
        <w:numPr>
          <w:ilvl w:val="0"/>
          <w:numId w:val="10"/>
        </w:numPr>
        <w:spacing w:after="80" w:line="300" w:lineRule="auto"/>
      </w:pPr>
      <w:r>
        <w:t>technical results, scored and used to anchor the suggested questions, but not a rendered section;</w:t>
      </w:r>
    </w:p>
    <w:p>
      <w:pPr>
        <w:numPr>
          <w:ilvl w:val="0"/>
          <w:numId w:val="10"/>
        </w:numPr>
        <w:spacing w:after="80" w:line="300" w:lineRule="auto"/>
      </w:pPr>
      <w:r>
        <w:t>a Validation section: the mandatory application fields, shown as submitted, with no rating attached;</w:t>
      </w:r>
    </w:p>
    <w:p>
      <w:pPr>
        <w:numPr>
          <w:ilvl w:val="0"/>
          <w:numId w:val="10"/>
        </w:numPr>
        <w:spacing w:after="80" w:line="300" w:lineRule="auto"/>
      </w:pPr>
      <w:r>
        <w:t>eight to ten suggested interview questions, anchored on whatever graded Moderately Matching or Not Matching, clearly advisory and never a recommendation to accept or reject; and</w:t>
      </w:r>
    </w:p>
    <w:p>
      <w:pPr>
        <w:numPr>
          <w:ilvl w:val="0"/>
          <w:numId w:val="10"/>
        </w:numPr>
        <w:spacing w:after="80" w:line="300" w:lineRule="auto"/>
      </w:pPr>
      <w:r>
        <w:t>four radar charts — Overall, Primary Skills, Secondary Skills, Behavioural Competencies — each plotting two shapes on the same axes: the job's required level and the candidate's assessed level.</w:t>
      </w:r>
    </w:p>
    <w:p>
      <w:r>
        <w:t>No numbers appear anywhere on any chart: not on axes, not as data labels, not in tooltips. A small legend below each chart identifies the two shapes by word: Job Requirement, Candidate Assessment. The radar uses an internal band index purely as a rendering radius and never displays it.</w:t>
      </w:r>
    </w:p>
    <w:p>
      <w:pPr>
        <w:pStyle w:val="Heading1"/>
      </w:pPr>
      <w:r>
        <w:t>13. Hiring pipeline and communications</w:t>
      </w:r>
    </w:p>
    <w:p>
      <w:pPr>
        <w:pStyle w:val="Heading2"/>
      </w:pPr>
      <w:r>
        <w:t>13.1 Pipeline stages</w:t>
      </w:r>
    </w:p>
    <w:p>
      <w:r>
        <w:t>The implemented domain includes:</w:t>
      </w:r>
    </w:p>
    <w:p>
      <w:pPr>
        <w:numPr>
          <w:ilvl w:val="0"/>
          <w:numId w:val="10"/>
        </w:numPr>
        <w:spacing w:after="80" w:line="300" w:lineRule="auto"/>
      </w:pPr>
      <w:r>
        <w:t>Applied</w:t>
      </w:r>
    </w:p>
    <w:p>
      <w:pPr>
        <w:numPr>
          <w:ilvl w:val="0"/>
          <w:numId w:val="10"/>
        </w:numPr>
        <w:spacing w:after="80" w:line="300" w:lineRule="auto"/>
      </w:pPr>
      <w:r>
        <w:t>Assessment Invited</w:t>
      </w:r>
    </w:p>
    <w:p>
      <w:pPr>
        <w:numPr>
          <w:ilvl w:val="0"/>
          <w:numId w:val="10"/>
        </w:numPr>
        <w:spacing w:after="80" w:line="300" w:lineRule="auto"/>
      </w:pPr>
      <w:r>
        <w:t>Assessment In Progress</w:t>
      </w:r>
    </w:p>
    <w:p>
      <w:pPr>
        <w:numPr>
          <w:ilvl w:val="0"/>
          <w:numId w:val="10"/>
        </w:numPr>
        <w:spacing w:after="80" w:line="300" w:lineRule="auto"/>
      </w:pPr>
      <w:r>
        <w:t>Assessment Completed</w:t>
      </w:r>
    </w:p>
    <w:p>
      <w:pPr>
        <w:numPr>
          <w:ilvl w:val="0"/>
          <w:numId w:val="10"/>
        </w:numPr>
        <w:spacing w:after="80" w:line="300" w:lineRule="auto"/>
      </w:pPr>
      <w:r>
        <w:t>Shortlisted</w:t>
      </w:r>
    </w:p>
    <w:p>
      <w:pPr>
        <w:numPr>
          <w:ilvl w:val="0"/>
          <w:numId w:val="10"/>
        </w:numPr>
        <w:spacing w:after="80" w:line="300" w:lineRule="auto"/>
      </w:pPr>
      <w:r>
        <w:t>Rejected</w:t>
      </w:r>
    </w:p>
    <w:p>
      <w:pPr>
        <w:numPr>
          <w:ilvl w:val="0"/>
          <w:numId w:val="10"/>
        </w:numPr>
        <w:spacing w:after="80" w:line="300" w:lineRule="auto"/>
      </w:pPr>
      <w:r>
        <w:t>Interview Scheduled</w:t>
      </w:r>
    </w:p>
    <w:p>
      <w:pPr>
        <w:numPr>
          <w:ilvl w:val="0"/>
          <w:numId w:val="10"/>
        </w:numPr>
        <w:spacing w:after="80" w:line="300" w:lineRule="auto"/>
      </w:pPr>
      <w:r>
        <w:t>Interview Completed</w:t>
      </w:r>
    </w:p>
    <w:p>
      <w:pPr>
        <w:numPr>
          <w:ilvl w:val="0"/>
          <w:numId w:val="10"/>
        </w:numPr>
        <w:spacing w:after="80" w:line="300" w:lineRule="auto"/>
      </w:pPr>
      <w:r>
        <w:t>Offer Extended</w:t>
      </w:r>
    </w:p>
    <w:p>
      <w:pPr>
        <w:numPr>
          <w:ilvl w:val="0"/>
          <w:numId w:val="10"/>
        </w:numPr>
        <w:spacing w:after="80" w:line="300" w:lineRule="auto"/>
      </w:pPr>
      <w:r>
        <w:t>Joined</w:t>
      </w:r>
    </w:p>
    <w:p>
      <w:pPr>
        <w:numPr>
          <w:ilvl w:val="0"/>
          <w:numId w:val="10"/>
        </w:numPr>
        <w:spacing w:after="80" w:line="300" w:lineRule="auto"/>
      </w:pPr>
      <w:r>
        <w:t>Hold</w:t>
      </w:r>
    </w:p>
    <w:p>
      <w:r>
        <w:t>Rejected and Joined are terminal. Hold and Rejected can be selected from non-terminal states. Forward transitions are validated by the server. Multiple interview rounds are stored with incrementing stage numbers.</w:t>
      </w:r>
    </w:p>
    <w:p>
      <w:r>
        <w:t>Every status change writes append-only history and updates the current-state mirror.</w:t>
      </w:r>
    </w:p>
    <w:p>
      <w:pPr>
        <w:pStyle w:val="Heading2"/>
      </w:pPr>
      <w:r>
        <w:t>13.2 Email workflow</w:t>
      </w:r>
    </w:p>
    <w:p>
      <w:r>
        <w:t>The system supports:</w:t>
      </w:r>
    </w:p>
    <w:p>
      <w:pPr>
        <w:numPr>
          <w:ilvl w:val="0"/>
          <w:numId w:val="10"/>
        </w:numPr>
        <w:spacing w:after="80" w:line="300" w:lineRule="auto"/>
      </w:pPr>
      <w:r>
        <w:t>application confirmation;</w:t>
      </w:r>
    </w:p>
    <w:p>
      <w:pPr>
        <w:numPr>
          <w:ilvl w:val="0"/>
          <w:numId w:val="10"/>
        </w:numPr>
        <w:spacing w:after="80" w:line="300" w:lineRule="auto"/>
      </w:pPr>
      <w:r>
        <w:t>assessment invitation and reminders;</w:t>
      </w:r>
    </w:p>
    <w:p>
      <w:pPr>
        <w:numPr>
          <w:ilvl w:val="0"/>
          <w:numId w:val="10"/>
        </w:numPr>
        <w:spacing w:after="80" w:line="300" w:lineRule="auto"/>
      </w:pPr>
      <w:r>
        <w:t>assessment completion;</w:t>
      </w:r>
    </w:p>
    <w:p>
      <w:pPr>
        <w:numPr>
          <w:ilvl w:val="0"/>
          <w:numId w:val="10"/>
        </w:numPr>
        <w:spacing w:after="80" w:line="300" w:lineRule="auto"/>
      </w:pPr>
      <w:r>
        <w:t>shortlist;</w:t>
      </w:r>
    </w:p>
    <w:p>
      <w:pPr>
        <w:numPr>
          <w:ilvl w:val="0"/>
          <w:numId w:val="10"/>
        </w:numPr>
        <w:spacing w:after="80" w:line="300" w:lineRule="auto"/>
      </w:pPr>
      <w:r>
        <w:t>rejection;</w:t>
      </w:r>
    </w:p>
    <w:p>
      <w:pPr>
        <w:numPr>
          <w:ilvl w:val="0"/>
          <w:numId w:val="10"/>
        </w:numPr>
        <w:spacing w:after="80" w:line="300" w:lineRule="auto"/>
      </w:pPr>
      <w:r>
        <w:t>hold;</w:t>
      </w:r>
    </w:p>
    <w:p>
      <w:pPr>
        <w:numPr>
          <w:ilvl w:val="0"/>
          <w:numId w:val="10"/>
        </w:numPr>
        <w:spacing w:after="80" w:line="300" w:lineRule="auto"/>
      </w:pPr>
      <w:r>
        <w:t>interview scheduling and completion;</w:t>
      </w:r>
    </w:p>
    <w:p>
      <w:pPr>
        <w:numPr>
          <w:ilvl w:val="0"/>
          <w:numId w:val="10"/>
        </w:numPr>
        <w:spacing w:after="80" w:line="300" w:lineRule="auto"/>
      </w:pPr>
      <w:r>
        <w:t>offer extension; and</w:t>
      </w:r>
    </w:p>
    <w:p>
      <w:pPr>
        <w:numPr>
          <w:ilvl w:val="0"/>
          <w:numId w:val="10"/>
        </w:numPr>
        <w:spacing w:after="80" w:line="300" w:lineRule="auto"/>
      </w:pPr>
      <w:r>
        <w:t>joined confirmation.</w:t>
      </w:r>
    </w:p>
    <w:p>
      <w:r>
        <w:t>Messages can be AI-drafted with a deterministic fallback, edited by an authorized user where composition is offered, queued through Celery, and sent through configured Gmail SMTP. The log records subject, body, delivery status, whether AI generated the draft, and whether a person edited it.</w:t>
      </w:r>
    </w:p>
    <w:p>
      <w:pPr>
        <w:pStyle w:val="Heading2"/>
      </w:pPr>
      <w:r>
        <w:t>13.3 Employer verification</w:t>
      </w:r>
    </w:p>
    <w:p>
      <w:r>
        <w:t>Employment verification supports:</w:t>
      </w:r>
    </w:p>
    <w:p>
      <w:pPr>
        <w:numPr>
          <w:ilvl w:val="0"/>
          <w:numId w:val="10"/>
        </w:numPr>
        <w:spacing w:after="80" w:line="300" w:lineRule="auto"/>
      </w:pPr>
      <w:r>
        <w:t>creating a verification request;</w:t>
      </w:r>
    </w:p>
    <w:p>
      <w:pPr>
        <w:numPr>
          <w:ilvl w:val="0"/>
          <w:numId w:val="10"/>
        </w:numPr>
        <w:spacing w:after="80" w:line="300" w:lineRule="auto"/>
      </w:pPr>
      <w:r>
        <w:t>sending a tokenized public form;</w:t>
      </w:r>
    </w:p>
    <w:p>
      <w:pPr>
        <w:numPr>
          <w:ilvl w:val="0"/>
          <w:numId w:val="10"/>
        </w:numPr>
        <w:spacing w:after="80" w:line="300" w:lineRule="auto"/>
      </w:pPr>
      <w:r>
        <w:t>accepting a verified public response;</w:t>
      </w:r>
    </w:p>
    <w:p>
      <w:pPr>
        <w:numPr>
          <w:ilvl w:val="0"/>
          <w:numId w:val="10"/>
        </w:numPr>
        <w:spacing w:after="80" w:line="300" w:lineRule="auto"/>
      </w:pPr>
      <w:r>
        <w:t>parsing an inbound verification email through an API;</w:t>
      </w:r>
    </w:p>
    <w:p>
      <w:pPr>
        <w:numPr>
          <w:ilvl w:val="0"/>
          <w:numId w:val="10"/>
        </w:numPr>
        <w:spacing w:after="80" w:line="300" w:lineRule="auto"/>
      </w:pPr>
      <w:r>
        <w:t>recording an authorized manual override with a reason; and</w:t>
      </w:r>
    </w:p>
    <w:p>
      <w:pPr>
        <w:numPr>
          <w:ilvl w:val="0"/>
          <w:numId w:val="10"/>
        </w:numPr>
        <w:spacing w:after="80" w:line="300" w:lineRule="auto"/>
      </w:pPr>
      <w:r>
        <w:t>showing verification state with the candidate profile.</w:t>
      </w:r>
    </w:p>
    <w:p>
      <w:r>
        <w:t>Databank handling follows separate verification rules so that historical profiles are not treated as fresh public applicants.</w:t>
      </w:r>
    </w:p>
    <w:p>
      <w:pPr>
        <w:pStyle w:val="Heading1"/>
      </w:pPr>
      <w:r>
        <w:t>14. Billing and credits</w:t>
      </w:r>
    </w:p>
    <w:p>
      <w:pPr>
        <w:pStyle w:val="Heading2"/>
      </w:pPr>
      <w:r>
        <w:t>14.1 Subscription plans</w:t>
      </w:r>
    </w:p>
    <w:p>
      <w:r>
        <w:t>All self-service tiers offer the same implemented feature set and differ by monthly candidate allowance and unit economics.</w:t>
      </w:r>
    </w:p>
    <w:tbl>
      <w:tblPr>
        <w:tblStyle w:val="TableGrid"/>
        <w:tblW w:type="auto" w:w="0"/>
        <w:jc w:val="center"/>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shd w:fill="E8EEF5"/>
            <w:tcMar>
              <w:top w:w="80" w:type="dxa"/>
              <w:start w:w="120" w:type="dxa"/>
              <w:bottom w:w="80" w:type="dxa"/>
              <w:end w:w="120" w:type="dxa"/>
            </w:tcMar>
            <w:vAlign w:val="center"/>
          </w:tcPr>
          <w:p>
            <w:r>
              <w:rPr>
                <w:b/>
                <w:color w:val="1F4D78"/>
              </w:rPr>
              <w:t>Plan</w:t>
            </w:r>
          </w:p>
        </w:tc>
        <w:tc>
          <w:tcPr>
            <w:tcW w:type="dxa" w:w="2340"/>
            <w:shd w:fill="E8EEF5"/>
            <w:tcMar>
              <w:top w:w="80" w:type="dxa"/>
              <w:start w:w="120" w:type="dxa"/>
              <w:bottom w:w="80" w:type="dxa"/>
              <w:end w:w="120" w:type="dxa"/>
            </w:tcMar>
            <w:vAlign w:val="center"/>
          </w:tcPr>
          <w:p>
            <w:r>
              <w:rPr>
                <w:b/>
                <w:color w:val="1F4D78"/>
              </w:rPr>
              <w:t>Monthly applications</w:t>
            </w:r>
          </w:p>
        </w:tc>
        <w:tc>
          <w:tcPr>
            <w:tcW w:type="dxa" w:w="2340"/>
            <w:shd w:fill="E8EEF5"/>
            <w:tcMar>
              <w:top w:w="80" w:type="dxa"/>
              <w:start w:w="120" w:type="dxa"/>
              <w:bottom w:w="80" w:type="dxa"/>
              <w:end w:w="120" w:type="dxa"/>
            </w:tcMar>
            <w:vAlign w:val="center"/>
          </w:tcPr>
          <w:p>
            <w:r>
              <w:rPr>
                <w:b/>
                <w:color w:val="1F4D78"/>
              </w:rPr>
              <w:t>Monthly price</w:t>
            </w:r>
          </w:p>
        </w:tc>
        <w:tc>
          <w:tcPr>
            <w:tcW w:type="dxa" w:w="2340"/>
            <w:shd w:fill="E8EEF5"/>
            <w:tcMar>
              <w:top w:w="80" w:type="dxa"/>
              <w:start w:w="120" w:type="dxa"/>
              <w:bottom w:w="80" w:type="dxa"/>
              <w:end w:w="120" w:type="dxa"/>
            </w:tcMar>
            <w:vAlign w:val="center"/>
          </w:tcPr>
          <w:p>
            <w:r>
              <w:rPr>
                <w:b/>
                <w:color w:val="1F4D78"/>
              </w:rPr>
              <w:t>Nominal price/application</w:t>
            </w:r>
          </w:p>
        </w:tc>
      </w:tr>
      <w:tr>
        <w:trPr>
          <w:cantSplit w:val="true"/>
        </w:trPr>
        <w:tc>
          <w:tcPr>
            <w:tcW w:type="dxa" w:w="2340"/>
            <w:tcMar>
              <w:top w:w="80" w:type="dxa"/>
              <w:start w:w="120" w:type="dxa"/>
              <w:bottom w:w="80" w:type="dxa"/>
              <w:end w:w="120" w:type="dxa"/>
            </w:tcMar>
            <w:vAlign w:val="center"/>
          </w:tcPr>
          <w:p>
            <w:r>
              <w:t>Starter</w:t>
            </w:r>
          </w:p>
        </w:tc>
        <w:tc>
          <w:tcPr>
            <w:tcW w:type="dxa" w:w="2340"/>
            <w:tcMar>
              <w:top w:w="80" w:type="dxa"/>
              <w:start w:w="120" w:type="dxa"/>
              <w:bottom w:w="80" w:type="dxa"/>
              <w:end w:w="120" w:type="dxa"/>
            </w:tcMar>
            <w:vAlign w:val="center"/>
          </w:tcPr>
          <w:p>
            <w:r>
              <w:t>50</w:t>
            </w:r>
          </w:p>
        </w:tc>
        <w:tc>
          <w:tcPr>
            <w:tcW w:type="dxa" w:w="2340"/>
            <w:tcMar>
              <w:top w:w="80" w:type="dxa"/>
              <w:start w:w="120" w:type="dxa"/>
              <w:bottom w:w="80" w:type="dxa"/>
              <w:end w:w="120" w:type="dxa"/>
            </w:tcMar>
            <w:vAlign w:val="center"/>
          </w:tcPr>
          <w:p>
            <w:r>
              <w:t>₹10,000</w:t>
            </w:r>
          </w:p>
        </w:tc>
        <w:tc>
          <w:tcPr>
            <w:tcW w:type="dxa" w:w="2340"/>
            <w:tcMar>
              <w:top w:w="80" w:type="dxa"/>
              <w:start w:w="120" w:type="dxa"/>
              <w:bottom w:w="80" w:type="dxa"/>
              <w:end w:w="120" w:type="dxa"/>
            </w:tcMar>
            <w:vAlign w:val="center"/>
          </w:tcPr>
          <w:p>
            <w:r>
              <w:t>₹200</w:t>
            </w:r>
          </w:p>
        </w:tc>
      </w:tr>
      <w:tr>
        <w:trPr>
          <w:cantSplit w:val="true"/>
        </w:trPr>
        <w:tc>
          <w:tcPr>
            <w:tcW w:type="dxa" w:w="2340"/>
            <w:tcMar>
              <w:top w:w="80" w:type="dxa"/>
              <w:start w:w="120" w:type="dxa"/>
              <w:bottom w:w="80" w:type="dxa"/>
              <w:end w:w="120" w:type="dxa"/>
            </w:tcMar>
            <w:vAlign w:val="center"/>
          </w:tcPr>
          <w:p>
            <w:r>
              <w:t>Growth</w:t>
            </w:r>
          </w:p>
        </w:tc>
        <w:tc>
          <w:tcPr>
            <w:tcW w:type="dxa" w:w="2340"/>
            <w:tcMar>
              <w:top w:w="80" w:type="dxa"/>
              <w:start w:w="120" w:type="dxa"/>
              <w:bottom w:w="80" w:type="dxa"/>
              <w:end w:w="120" w:type="dxa"/>
            </w:tcMar>
            <w:vAlign w:val="center"/>
          </w:tcPr>
          <w:p>
            <w:r>
              <w:t>100</w:t>
            </w:r>
          </w:p>
        </w:tc>
        <w:tc>
          <w:tcPr>
            <w:tcW w:type="dxa" w:w="2340"/>
            <w:tcMar>
              <w:top w:w="80" w:type="dxa"/>
              <w:start w:w="120" w:type="dxa"/>
              <w:bottom w:w="80" w:type="dxa"/>
              <w:end w:w="120" w:type="dxa"/>
            </w:tcMar>
            <w:vAlign w:val="center"/>
          </w:tcPr>
          <w:p>
            <w:r>
              <w:t>₹18,000</w:t>
            </w:r>
          </w:p>
        </w:tc>
        <w:tc>
          <w:tcPr>
            <w:tcW w:type="dxa" w:w="2340"/>
            <w:tcMar>
              <w:top w:w="80" w:type="dxa"/>
              <w:start w:w="120" w:type="dxa"/>
              <w:bottom w:w="80" w:type="dxa"/>
              <w:end w:w="120" w:type="dxa"/>
            </w:tcMar>
            <w:vAlign w:val="center"/>
          </w:tcPr>
          <w:p>
            <w:r>
              <w:t>₹180</w:t>
            </w:r>
          </w:p>
        </w:tc>
      </w:tr>
      <w:tr>
        <w:trPr>
          <w:cantSplit w:val="true"/>
        </w:trPr>
        <w:tc>
          <w:tcPr>
            <w:tcW w:type="dxa" w:w="2340"/>
            <w:tcMar>
              <w:top w:w="80" w:type="dxa"/>
              <w:start w:w="120" w:type="dxa"/>
              <w:bottom w:w="80" w:type="dxa"/>
              <w:end w:w="120" w:type="dxa"/>
            </w:tcMar>
            <w:vAlign w:val="center"/>
          </w:tcPr>
          <w:p>
            <w:r>
              <w:t>Scale</w:t>
            </w:r>
          </w:p>
        </w:tc>
        <w:tc>
          <w:tcPr>
            <w:tcW w:type="dxa" w:w="2340"/>
            <w:tcMar>
              <w:top w:w="80" w:type="dxa"/>
              <w:start w:w="120" w:type="dxa"/>
              <w:bottom w:w="80" w:type="dxa"/>
              <w:end w:w="120" w:type="dxa"/>
            </w:tcMar>
            <w:vAlign w:val="center"/>
          </w:tcPr>
          <w:p>
            <w:r>
              <w:t>150</w:t>
            </w:r>
          </w:p>
        </w:tc>
        <w:tc>
          <w:tcPr>
            <w:tcW w:type="dxa" w:w="2340"/>
            <w:tcMar>
              <w:top w:w="80" w:type="dxa"/>
              <w:start w:w="120" w:type="dxa"/>
              <w:bottom w:w="80" w:type="dxa"/>
              <w:end w:w="120" w:type="dxa"/>
            </w:tcMar>
            <w:vAlign w:val="center"/>
          </w:tcPr>
          <w:p>
            <w:r>
              <w:t>₹24,000</w:t>
            </w:r>
          </w:p>
        </w:tc>
        <w:tc>
          <w:tcPr>
            <w:tcW w:type="dxa" w:w="2340"/>
            <w:tcMar>
              <w:top w:w="80" w:type="dxa"/>
              <w:start w:w="120" w:type="dxa"/>
              <w:bottom w:w="80" w:type="dxa"/>
              <w:end w:w="120" w:type="dxa"/>
            </w:tcMar>
            <w:vAlign w:val="center"/>
          </w:tcPr>
          <w:p>
            <w:r>
              <w:t>₹160</w:t>
            </w:r>
          </w:p>
        </w:tc>
      </w:tr>
      <w:tr>
        <w:trPr>
          <w:cantSplit w:val="true"/>
        </w:trPr>
        <w:tc>
          <w:tcPr>
            <w:tcW w:type="dxa" w:w="2340"/>
            <w:tcMar>
              <w:top w:w="80" w:type="dxa"/>
              <w:start w:w="120" w:type="dxa"/>
              <w:bottom w:w="80" w:type="dxa"/>
              <w:end w:w="120" w:type="dxa"/>
            </w:tcMar>
            <w:vAlign w:val="center"/>
          </w:tcPr>
          <w:p>
            <w:r>
              <w:t>Pro</w:t>
            </w:r>
          </w:p>
        </w:tc>
        <w:tc>
          <w:tcPr>
            <w:tcW w:type="dxa" w:w="2340"/>
            <w:tcMar>
              <w:top w:w="80" w:type="dxa"/>
              <w:start w:w="120" w:type="dxa"/>
              <w:bottom w:w="80" w:type="dxa"/>
              <w:end w:w="120" w:type="dxa"/>
            </w:tcMar>
            <w:vAlign w:val="center"/>
          </w:tcPr>
          <w:p>
            <w:r>
              <w:t>200</w:t>
            </w:r>
          </w:p>
        </w:tc>
        <w:tc>
          <w:tcPr>
            <w:tcW w:type="dxa" w:w="2340"/>
            <w:tcMar>
              <w:top w:w="80" w:type="dxa"/>
              <w:start w:w="120" w:type="dxa"/>
              <w:bottom w:w="80" w:type="dxa"/>
              <w:end w:w="120" w:type="dxa"/>
            </w:tcMar>
            <w:vAlign w:val="center"/>
          </w:tcPr>
          <w:p>
            <w:r>
              <w:t>₹28,000</w:t>
            </w:r>
          </w:p>
        </w:tc>
        <w:tc>
          <w:tcPr>
            <w:tcW w:type="dxa" w:w="2340"/>
            <w:tcMar>
              <w:top w:w="80" w:type="dxa"/>
              <w:start w:w="120" w:type="dxa"/>
              <w:bottom w:w="80" w:type="dxa"/>
              <w:end w:w="120" w:type="dxa"/>
            </w:tcMar>
            <w:vAlign w:val="center"/>
          </w:tcPr>
          <w:p>
            <w:r>
              <w:t>₹140</w:t>
            </w:r>
          </w:p>
        </w:tc>
      </w:tr>
      <w:tr>
        <w:trPr>
          <w:cantSplit w:val="true"/>
        </w:trPr>
        <w:tc>
          <w:tcPr>
            <w:tcW w:type="dxa" w:w="2340"/>
            <w:tcMar>
              <w:top w:w="80" w:type="dxa"/>
              <w:start w:w="120" w:type="dxa"/>
              <w:bottom w:w="80" w:type="dxa"/>
              <w:end w:w="120" w:type="dxa"/>
            </w:tcMar>
            <w:vAlign w:val="center"/>
          </w:tcPr>
          <w:p>
            <w:r>
              <w:t>Enterprise</w:t>
            </w:r>
          </w:p>
        </w:tc>
        <w:tc>
          <w:tcPr>
            <w:tcW w:type="dxa" w:w="2340"/>
            <w:tcMar>
              <w:top w:w="80" w:type="dxa"/>
              <w:start w:w="120" w:type="dxa"/>
              <w:bottom w:w="80" w:type="dxa"/>
              <w:end w:w="120" w:type="dxa"/>
            </w:tcMar>
            <w:vAlign w:val="center"/>
          </w:tcPr>
          <w:p>
            <w:r>
              <w:t>Contact sales</w:t>
            </w:r>
          </w:p>
        </w:tc>
        <w:tc>
          <w:tcPr>
            <w:tcW w:type="dxa" w:w="2340"/>
            <w:tcMar>
              <w:top w:w="80" w:type="dxa"/>
              <w:start w:w="120" w:type="dxa"/>
              <w:bottom w:w="80" w:type="dxa"/>
              <w:end w:w="120" w:type="dxa"/>
            </w:tcMar>
            <w:vAlign w:val="center"/>
          </w:tcPr>
          <w:p>
            <w:r>
              <w:t>Custom</w:t>
            </w:r>
          </w:p>
        </w:tc>
        <w:tc>
          <w:tcPr>
            <w:tcW w:type="dxa" w:w="2340"/>
            <w:tcMar>
              <w:top w:w="80" w:type="dxa"/>
              <w:start w:w="120" w:type="dxa"/>
              <w:bottom w:w="80" w:type="dxa"/>
              <w:end w:w="120" w:type="dxa"/>
            </w:tcMar>
            <w:vAlign w:val="center"/>
          </w:tcPr>
          <w:p>
            <w:r>
              <w:t>Custom</w:t>
            </w:r>
          </w:p>
        </w:tc>
      </w:tr>
    </w:tbl>
    <w:p>
      <w:pPr>
        <w:pStyle w:val="SourceNote"/>
      </w:pPr>
      <w:r>
        <w:t>Source: PickReady source code and database migrations.</w:t>
      </w:r>
    </w:p>
    <w:p>
      <w:r>
        <w:t>Razorpay subscriptions provide checkout, plan change, cancellation, signature verification, and deduplicated webhook handling. Enterprise is a contact path rather than a self-service database plan.</w:t>
      </w:r>
    </w:p>
    <w:p>
      <w:pPr>
        <w:pStyle w:val="Heading2"/>
      </w:pPr>
      <w:r>
        <w:t>14.2 Credit model</w:t>
      </w:r>
    </w:p>
    <w:p>
      <w:r>
        <w:t>One credit equals 60 integer sub-units.</w:t>
      </w:r>
    </w:p>
    <w:tbl>
      <w:tblPr>
        <w:tblStyle w:val="TableGrid"/>
        <w:tblW w:type="auto" w:w="0"/>
        <w:jc w:val="center"/>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shd w:fill="E8EEF5"/>
            <w:tcMar>
              <w:top w:w="80" w:type="dxa"/>
              <w:start w:w="120" w:type="dxa"/>
              <w:bottom w:w="80" w:type="dxa"/>
              <w:end w:w="120" w:type="dxa"/>
            </w:tcMar>
            <w:vAlign w:val="center"/>
          </w:tcPr>
          <w:p>
            <w:r>
              <w:rPr>
                <w:b/>
                <w:color w:val="1F4D78"/>
              </w:rPr>
              <w:t>Event</w:t>
            </w:r>
          </w:p>
        </w:tc>
        <w:tc>
          <w:tcPr>
            <w:tcW w:type="dxa" w:w="3120"/>
            <w:shd w:fill="E8EEF5"/>
            <w:tcMar>
              <w:top w:w="80" w:type="dxa"/>
              <w:start w:w="120" w:type="dxa"/>
              <w:bottom w:w="80" w:type="dxa"/>
              <w:end w:w="120" w:type="dxa"/>
            </w:tcMar>
            <w:vAlign w:val="center"/>
          </w:tcPr>
          <w:p>
            <w:r>
              <w:rPr>
                <w:b/>
                <w:color w:val="1F4D78"/>
              </w:rPr>
              <w:t>Sub-units</w:t>
            </w:r>
          </w:p>
        </w:tc>
        <w:tc>
          <w:tcPr>
            <w:tcW w:type="dxa" w:w="3120"/>
            <w:shd w:fill="E8EEF5"/>
            <w:tcMar>
              <w:top w:w="80" w:type="dxa"/>
              <w:start w:w="120" w:type="dxa"/>
              <w:bottom w:w="80" w:type="dxa"/>
              <w:end w:w="120" w:type="dxa"/>
            </w:tcMar>
            <w:vAlign w:val="center"/>
          </w:tcPr>
          <w:p>
            <w:r>
              <w:rPr>
                <w:b/>
                <w:color w:val="1F4D78"/>
              </w:rPr>
              <w:t>Credit equivalent</w:t>
            </w:r>
          </w:p>
        </w:tc>
      </w:tr>
      <w:tr>
        <w:trPr>
          <w:cantSplit w:val="true"/>
        </w:trPr>
        <w:tc>
          <w:tcPr>
            <w:tcW w:type="dxa" w:w="3120"/>
            <w:tcMar>
              <w:top w:w="80" w:type="dxa"/>
              <w:start w:w="120" w:type="dxa"/>
              <w:bottom w:w="80" w:type="dxa"/>
              <w:end w:w="120" w:type="dxa"/>
            </w:tcMar>
            <w:vAlign w:val="center"/>
          </w:tcPr>
          <w:p>
            <w:r>
              <w:t>Completed assessment</w:t>
            </w:r>
          </w:p>
        </w:tc>
        <w:tc>
          <w:tcPr>
            <w:tcW w:type="dxa" w:w="3120"/>
            <w:tcMar>
              <w:top w:w="80" w:type="dxa"/>
              <w:start w:w="120" w:type="dxa"/>
              <w:bottom w:w="80" w:type="dxa"/>
              <w:end w:w="120" w:type="dxa"/>
            </w:tcMar>
            <w:vAlign w:val="center"/>
          </w:tcPr>
          <w:p>
            <w:r>
              <w:t>60</w:t>
            </w:r>
          </w:p>
        </w:tc>
        <w:tc>
          <w:tcPr>
            <w:tcW w:type="dxa" w:w="3120"/>
            <w:tcMar>
              <w:top w:w="80" w:type="dxa"/>
              <w:start w:w="120" w:type="dxa"/>
              <w:bottom w:w="80" w:type="dxa"/>
              <w:end w:w="120" w:type="dxa"/>
            </w:tcMar>
            <w:vAlign w:val="center"/>
          </w:tcPr>
          <w:p>
            <w:r>
              <w:t>1</w:t>
            </w:r>
          </w:p>
        </w:tc>
      </w:tr>
      <w:tr>
        <w:trPr>
          <w:cantSplit w:val="true"/>
        </w:trPr>
        <w:tc>
          <w:tcPr>
            <w:tcW w:type="dxa" w:w="3120"/>
            <w:tcMar>
              <w:top w:w="80" w:type="dxa"/>
              <w:start w:w="120" w:type="dxa"/>
              <w:bottom w:w="80" w:type="dxa"/>
              <w:end w:w="120" w:type="dxa"/>
            </w:tcMar>
            <w:vAlign w:val="center"/>
          </w:tcPr>
          <w:p>
            <w:r>
              <w:t>Started but incomplete after reconciliation</w:t>
            </w:r>
          </w:p>
        </w:tc>
        <w:tc>
          <w:tcPr>
            <w:tcW w:type="dxa" w:w="3120"/>
            <w:tcMar>
              <w:top w:w="80" w:type="dxa"/>
              <w:start w:w="120" w:type="dxa"/>
              <w:bottom w:w="80" w:type="dxa"/>
              <w:end w:w="120" w:type="dxa"/>
            </w:tcMar>
            <w:vAlign w:val="center"/>
          </w:tcPr>
          <w:p>
            <w:r>
              <w:t>20</w:t>
            </w:r>
          </w:p>
        </w:tc>
        <w:tc>
          <w:tcPr>
            <w:tcW w:type="dxa" w:w="3120"/>
            <w:tcMar>
              <w:top w:w="80" w:type="dxa"/>
              <w:start w:w="120" w:type="dxa"/>
              <w:bottom w:w="80" w:type="dxa"/>
              <w:end w:w="120" w:type="dxa"/>
            </w:tcMar>
            <w:vAlign w:val="center"/>
          </w:tcPr>
          <w:p>
            <w:r>
              <w:t>1/3</w:t>
            </w:r>
          </w:p>
        </w:tc>
      </w:tr>
      <w:tr>
        <w:trPr>
          <w:cantSplit w:val="true"/>
        </w:trPr>
        <w:tc>
          <w:tcPr>
            <w:tcW w:type="dxa" w:w="3120"/>
            <w:tcMar>
              <w:top w:w="80" w:type="dxa"/>
              <w:start w:w="120" w:type="dxa"/>
              <w:bottom w:w="80" w:type="dxa"/>
              <w:end w:w="120" w:type="dxa"/>
            </w:tcMar>
            <w:vAlign w:val="center"/>
          </w:tcPr>
          <w:p>
            <w:r>
              <w:t>Never opened after reminders and settlement window</w:t>
            </w:r>
          </w:p>
        </w:tc>
        <w:tc>
          <w:tcPr>
            <w:tcW w:type="dxa" w:w="3120"/>
            <w:tcMar>
              <w:top w:w="80" w:type="dxa"/>
              <w:start w:w="120" w:type="dxa"/>
              <w:bottom w:w="80" w:type="dxa"/>
              <w:end w:w="120" w:type="dxa"/>
            </w:tcMar>
            <w:vAlign w:val="center"/>
          </w:tcPr>
          <w:p>
            <w:r>
              <w:t>4</w:t>
            </w:r>
          </w:p>
        </w:tc>
        <w:tc>
          <w:tcPr>
            <w:tcW w:type="dxa" w:w="3120"/>
            <w:tcMar>
              <w:top w:w="80" w:type="dxa"/>
              <w:start w:w="120" w:type="dxa"/>
              <w:bottom w:w="80" w:type="dxa"/>
              <w:end w:w="120" w:type="dxa"/>
            </w:tcMar>
            <w:vAlign w:val="center"/>
          </w:tcPr>
          <w:p>
            <w:r>
              <w:t>1/15</w:t>
            </w:r>
          </w:p>
        </w:tc>
      </w:tr>
      <w:tr>
        <w:trPr>
          <w:cantSplit w:val="true"/>
        </w:trPr>
        <w:tc>
          <w:tcPr>
            <w:tcW w:type="dxa" w:w="3120"/>
            <w:tcMar>
              <w:top w:w="80" w:type="dxa"/>
              <w:start w:w="120" w:type="dxa"/>
              <w:bottom w:w="80" w:type="dxa"/>
              <w:end w:w="120" w:type="dxa"/>
            </w:tcMar>
            <w:vAlign w:val="center"/>
          </w:tcPr>
          <w:p>
            <w:r>
              <w:t>Old-profile review</w:t>
            </w:r>
          </w:p>
        </w:tc>
        <w:tc>
          <w:tcPr>
            <w:tcW w:type="dxa" w:w="3120"/>
            <w:tcMar>
              <w:top w:w="80" w:type="dxa"/>
              <w:start w:w="120" w:type="dxa"/>
              <w:bottom w:w="80" w:type="dxa"/>
              <w:end w:w="120" w:type="dxa"/>
            </w:tcMar>
            <w:vAlign w:val="center"/>
          </w:tcPr>
          <w:p>
            <w:r>
              <w:t>3</w:t>
            </w:r>
          </w:p>
        </w:tc>
        <w:tc>
          <w:tcPr>
            <w:tcW w:type="dxa" w:w="3120"/>
            <w:tcMar>
              <w:top w:w="80" w:type="dxa"/>
              <w:start w:w="120" w:type="dxa"/>
              <w:bottom w:w="80" w:type="dxa"/>
              <w:end w:w="120" w:type="dxa"/>
            </w:tcMar>
            <w:vAlign w:val="center"/>
          </w:tcPr>
          <w:p>
            <w:r>
              <w:t>1/20</w:t>
            </w:r>
          </w:p>
        </w:tc>
      </w:tr>
    </w:tbl>
    <w:p>
      <w:pPr>
        <w:pStyle w:val="SourceNote"/>
      </w:pPr>
      <w:r>
        <w:t>Source: PickReady source code and database migrations.</w:t>
      </w:r>
    </w:p>
    <w:p>
      <w:r>
        <w:t>Credits roll over and do not expire. Consumption can make a balance negative because a completed candidate action is not reversed. A negative balance blocks new assessment invitations until credits are restored.</w:t>
      </w:r>
    </w:p>
    <w:p>
      <w:r>
        <w:t>Reminder attempts occur around 24 and 72 hours. Unfinished invitations are settled after seven days. Ledger entries are append-only and carry idempotency keys so retries do not double-charge.</w:t>
      </w:r>
    </w:p>
    <w:p>
      <w:pPr>
        <w:pStyle w:val="Heading1"/>
      </w:pPr>
      <w:r>
        <w:t>15. Business-development workspace</w:t>
      </w:r>
    </w:p>
    <w:p>
      <w:pPr>
        <w:pStyle w:val="Heading2"/>
      </w:pPr>
      <w:r>
        <w:t>15.1 Lead management</w:t>
      </w:r>
    </w:p>
    <w:p>
      <w:r>
        <w:t>Personal and social leads share one lead model. Social sources include LinkedIn, Google, Facebook, Instagram, and X.</w:t>
      </w:r>
    </w:p>
    <w:p>
      <w:r>
        <w:t>Each lead tracks six operational milestones:</w:t>
      </w:r>
    </w:p>
    <w:p>
      <w:pPr>
        <w:numPr>
          <w:ilvl w:val="0"/>
          <w:numId w:val="14"/>
        </w:numPr>
        <w:spacing w:after="80" w:line="300" w:lineRule="auto"/>
      </w:pPr>
      <w:r>
        <w:t>Interaction 1</w:t>
      </w:r>
    </w:p>
    <w:p>
      <w:pPr>
        <w:numPr>
          <w:ilvl w:val="0"/>
          <w:numId w:val="14"/>
        </w:numPr>
        <w:spacing w:after="80" w:line="300" w:lineRule="auto"/>
      </w:pPr>
      <w:r>
        <w:t>Interaction 2</w:t>
      </w:r>
    </w:p>
    <w:p>
      <w:pPr>
        <w:numPr>
          <w:ilvl w:val="0"/>
          <w:numId w:val="14"/>
        </w:numPr>
        <w:spacing w:after="80" w:line="300" w:lineRule="auto"/>
      </w:pPr>
      <w:r>
        <w:t>Interaction 3</w:t>
      </w:r>
    </w:p>
    <w:p>
      <w:pPr>
        <w:numPr>
          <w:ilvl w:val="0"/>
          <w:numId w:val="14"/>
        </w:numPr>
        <w:spacing w:after="80" w:line="300" w:lineRule="auto"/>
      </w:pPr>
      <w:r>
        <w:t>Meeting or demo 1</w:t>
      </w:r>
    </w:p>
    <w:p>
      <w:pPr>
        <w:numPr>
          <w:ilvl w:val="0"/>
          <w:numId w:val="14"/>
        </w:numPr>
        <w:spacing w:after="80" w:line="300" w:lineRule="auto"/>
      </w:pPr>
      <w:r>
        <w:t>Meeting or demo 2</w:t>
      </w:r>
    </w:p>
    <w:p>
      <w:pPr>
        <w:numPr>
          <w:ilvl w:val="0"/>
          <w:numId w:val="14"/>
        </w:numPr>
        <w:spacing w:after="80" w:line="300" w:lineRule="auto"/>
      </w:pPr>
      <w:r>
        <w:t>Meeting or demo 3</w:t>
      </w:r>
    </w:p>
    <w:p>
      <w:r>
        <w:t>The first completion time for each milestone is retained.</w:t>
      </w:r>
    </w:p>
    <w:p>
      <w:pPr>
        <w:pStyle w:val="Heading2"/>
      </w:pPr>
      <w:r>
        <w:t>15.2 Agreement conversion</w:t>
      </w:r>
    </w:p>
    <w:p>
      <w:r>
        <w:t>When an agreement is marked signed, the lead is promoted to a prospect customer tenant. Removing the signed state archives and unlinks the prospect. Signing again reuses the same tenant rather than creating duplicates.</w:t>
      </w:r>
    </w:p>
    <w:p>
      <w:pPr>
        <w:pStyle w:val="Heading2"/>
      </w:pPr>
      <w:r>
        <w:t>15.3 AI Reach</w:t>
      </w:r>
    </w:p>
    <w:p>
      <w:r>
        <w:t>AI Reach has two independent modes:</w:t>
      </w:r>
    </w:p>
    <w:p>
      <w:pPr>
        <w:numPr>
          <w:ilvl w:val="0"/>
          <w:numId w:val="10"/>
        </w:numPr>
        <w:spacing w:after="80" w:line="300" w:lineRule="auto"/>
      </w:pPr>
      <w:r>
        <w:rPr>
          <w:b/>
        </w:rPr>
        <w:t>Similar to customers:</w:t>
      </w:r>
      <w:r>
        <w:t xml:space="preserve"> searches internal customer patterns without network access.</w:t>
      </w:r>
    </w:p>
    <w:p>
      <w:pPr>
        <w:numPr>
          <w:ilvl w:val="0"/>
          <w:numId w:val="10"/>
        </w:numPr>
        <w:spacing w:after="80" w:line="300" w:lineRule="auto"/>
      </w:pPr>
      <w:r>
        <w:rPr>
          <w:b/>
        </w:rPr>
        <w:t>From the internet:</w:t>
      </w:r>
      <w:r>
        <w:t xml:space="preserve"> uses Tavily-backed research orchestrated through a plan, search, evaluate, and shape workflow.</w:t>
      </w:r>
    </w:p>
    <w:p>
      <w:r>
        <w:t>Results identify operational states such as OK, unconfigured, timeout, or unavailable and use word confidence labels. AI Reach does not present an opaque numeric confidence score.</w:t>
      </w:r>
    </w:p>
    <w:p>
      <w:r>
        <w:t>BD users can view converted customers and export their customer list as CSV.</w:t>
      </w:r>
    </w:p>
    <w:p>
      <w:pPr>
        <w:pStyle w:val="Heading1"/>
      </w:pPr>
      <w:r>
        <w:t>16. Public experience</w:t>
      </w:r>
    </w:p>
    <w:p>
      <w:r>
        <w:t>The public application includes:</w:t>
      </w:r>
    </w:p>
    <w:p>
      <w:pPr>
        <w:numPr>
          <w:ilvl w:val="0"/>
          <w:numId w:val="10"/>
        </w:numPr>
        <w:spacing w:after="80" w:line="300" w:lineRule="auto"/>
      </w:pPr>
      <w:r>
        <w:t>landing page;</w:t>
      </w:r>
    </w:p>
    <w:p>
      <w:pPr>
        <w:numPr>
          <w:ilvl w:val="0"/>
          <w:numId w:val="10"/>
        </w:numPr>
        <w:spacing w:after="80" w:line="300" w:lineRule="auto"/>
      </w:pPr>
      <w:r>
        <w:t>product storytelling, workflow demonstration, and product/technical documentation;</w:t>
      </w:r>
    </w:p>
    <w:p>
      <w:pPr>
        <w:numPr>
          <w:ilvl w:val="0"/>
          <w:numId w:val="10"/>
        </w:numPr>
        <w:spacing w:after="80" w:line="300" w:lineRule="auto"/>
      </w:pPr>
      <w:r>
        <w:t>about;</w:t>
      </w:r>
    </w:p>
    <w:p>
      <w:pPr>
        <w:numPr>
          <w:ilvl w:val="0"/>
          <w:numId w:val="10"/>
        </w:numPr>
        <w:spacing w:after="80" w:line="300" w:lineRule="auto"/>
      </w:pPr>
      <w:r>
        <w:t>insights;</w:t>
      </w:r>
    </w:p>
    <w:p>
      <w:pPr>
        <w:numPr>
          <w:ilvl w:val="0"/>
          <w:numId w:val="10"/>
        </w:numPr>
        <w:spacing w:after="80" w:line="300" w:lineRule="auto"/>
      </w:pPr>
      <w:r>
        <w:t>pricing;</w:t>
      </w:r>
    </w:p>
    <w:p>
      <w:pPr>
        <w:numPr>
          <w:ilvl w:val="0"/>
          <w:numId w:val="10"/>
        </w:numPr>
        <w:spacing w:after="80" w:line="300" w:lineRule="auto"/>
      </w:pPr>
      <w:r>
        <w:t>privacy;</w:t>
      </w:r>
    </w:p>
    <w:p>
      <w:pPr>
        <w:numPr>
          <w:ilvl w:val="0"/>
          <w:numId w:val="10"/>
        </w:numPr>
        <w:spacing w:after="80" w:line="300" w:lineRule="auto"/>
      </w:pPr>
      <w:r>
        <w:t>terms;</w:t>
      </w:r>
    </w:p>
    <w:p>
      <w:pPr>
        <w:numPr>
          <w:ilvl w:val="0"/>
          <w:numId w:val="10"/>
        </w:numPr>
        <w:spacing w:after="80" w:line="300" w:lineRule="auto"/>
      </w:pPr>
      <w:r>
        <w:t>login and registration;</w:t>
      </w:r>
    </w:p>
    <w:p>
      <w:pPr>
        <w:numPr>
          <w:ilvl w:val="0"/>
          <w:numId w:val="10"/>
        </w:numPr>
        <w:spacing w:after="80" w:line="300" w:lineRule="auto"/>
      </w:pPr>
      <w:r>
        <w:t>staff invitation acceptance;</w:t>
      </w:r>
    </w:p>
    <w:p>
      <w:pPr>
        <w:numPr>
          <w:ilvl w:val="0"/>
          <w:numId w:val="10"/>
        </w:numPr>
        <w:spacing w:after="80" w:line="300" w:lineRule="auto"/>
      </w:pPr>
      <w:r>
        <w:t>public job application;</w:t>
      </w:r>
    </w:p>
    <w:p>
      <w:pPr>
        <w:numPr>
          <w:ilvl w:val="0"/>
          <w:numId w:val="10"/>
        </w:numPr>
        <w:spacing w:after="80" w:line="300" w:lineRule="auto"/>
      </w:pPr>
      <w:r>
        <w:t>outreach response; and</w:t>
      </w:r>
    </w:p>
    <w:p>
      <w:pPr>
        <w:numPr>
          <w:ilvl w:val="0"/>
          <w:numId w:val="10"/>
        </w:numPr>
        <w:spacing w:after="80" w:line="300" w:lineRule="auto"/>
      </w:pPr>
      <w:r>
        <w:t>employer verification.</w:t>
      </w:r>
    </w:p>
    <w:p>
      <w:r>
        <w:t>Authentication supports Google, email/password, and phone through Firebase. The backend exchanges verified Firebase identity for secure HTTP-only application sessions and presents a context selector when one identity belongs to more than one workspace.</w:t>
      </w:r>
    </w:p>
    <w:p>
      <w:pPr>
        <w:pStyle w:val="Heading1"/>
      </w:pPr>
      <w:r>
        <w:t>17. Product differentiation</w:t>
      </w:r>
    </w:p>
    <w:p>
      <w:r>
        <w:t>The implemented differentiation is:</w:t>
      </w:r>
    </w:p>
    <w:p>
      <w:pPr>
        <w:numPr>
          <w:ilvl w:val="0"/>
          <w:numId w:val="10"/>
        </w:numPr>
        <w:spacing w:after="80" w:line="300" w:lineRule="auto"/>
      </w:pPr>
      <w:r>
        <w:t>one operating chain from job draft to joined outcome;</w:t>
      </w:r>
    </w:p>
    <w:p>
      <w:pPr>
        <w:numPr>
          <w:ilvl w:val="0"/>
          <w:numId w:val="10"/>
        </w:numPr>
        <w:spacing w:after="80" w:line="300" w:lineRule="auto"/>
      </w:pPr>
      <w:r>
        <w:t>hybrid semantic and keyword matching rather than an LLM-only candidate guess;</w:t>
      </w:r>
    </w:p>
    <w:p>
      <w:pPr>
        <w:numPr>
          <w:ilvl w:val="0"/>
          <w:numId w:val="10"/>
        </w:numPr>
        <w:spacing w:after="80" w:line="300" w:lineRule="auto"/>
      </w:pPr>
      <w:r>
        <w:t>assessment content that changes with both job and grade;</w:t>
      </w:r>
    </w:p>
    <w:p>
      <w:pPr>
        <w:numPr>
          <w:ilvl w:val="0"/>
          <w:numId w:val="10"/>
        </w:numPr>
        <w:spacing w:after="80" w:line="300" w:lineRule="auto"/>
      </w:pPr>
      <w:r>
        <w:t>PPI: a skills and behavioural framework generated fresh from every job, combined with technical rubric scoring;</w:t>
      </w:r>
    </w:p>
    <w:p>
      <w:pPr>
        <w:numPr>
          <w:ilvl w:val="0"/>
          <w:numId w:val="10"/>
        </w:numPr>
        <w:spacing w:after="80" w:line="300" w:lineRule="auto"/>
      </w:pPr>
      <w:r>
        <w:t>qualitative, interview-ready reports instead of exposed black-box numbers;</w:t>
      </w:r>
    </w:p>
    <w:p>
      <w:pPr>
        <w:numPr>
          <w:ilvl w:val="0"/>
          <w:numId w:val="10"/>
        </w:numPr>
        <w:spacing w:after="80" w:line="300" w:lineRule="auto"/>
      </w:pPr>
      <w:r>
        <w:t>invitation-gated assessment spend with a transparent fractional credit ledger;</w:t>
      </w:r>
    </w:p>
    <w:p>
      <w:pPr>
        <w:numPr>
          <w:ilvl w:val="0"/>
          <w:numId w:val="10"/>
        </w:numPr>
        <w:spacing w:after="80" w:line="300" w:lineRule="auto"/>
      </w:pPr>
      <w:r>
        <w:t>reusable candidate profiles with per-application snapshots;</w:t>
      </w:r>
    </w:p>
    <w:p>
      <w:pPr>
        <w:numPr>
          <w:ilvl w:val="0"/>
          <w:numId w:val="10"/>
        </w:numPr>
        <w:spacing w:after="80" w:line="300" w:lineRule="auto"/>
      </w:pPr>
      <w:r>
        <w:t>archived records and renewed-job old/new profile continuity;</w:t>
      </w:r>
    </w:p>
    <w:p>
      <w:pPr>
        <w:numPr>
          <w:ilvl w:val="0"/>
          <w:numId w:val="10"/>
        </w:numPr>
        <w:spacing w:after="80" w:line="300" w:lineRule="auto"/>
      </w:pPr>
      <w:r>
        <w:t>tenant-level capabilities plus individual permission overlays; and</w:t>
      </w:r>
    </w:p>
    <w:p>
      <w:pPr>
        <w:numPr>
          <w:ilvl w:val="0"/>
          <w:numId w:val="10"/>
        </w:numPr>
        <w:spacing w:after="80" w:line="300" w:lineRule="auto"/>
      </w:pPr>
      <w:r>
        <w:t>business-development conversion in the same platform that provisions customers.</w:t>
      </w:r>
    </w:p>
    <w:p>
      <w:r>
        <w:t>These are implementation characteristics, not claims that competing products lack similar functionality.</w:t>
      </w:r>
    </w:p>
    <w:p>
      <w:pPr>
        <w:pStyle w:val="Heading1"/>
      </w:pPr>
      <w:r>
        <w:t>18. Measurable value and evidence policy</w:t>
      </w:r>
    </w:p>
    <w:p>
      <w:r>
        <w:t>The codebase provides measurable operating limits and unit economics:</w:t>
      </w:r>
    </w:p>
    <w:p>
      <w:pPr>
        <w:numPr>
          <w:ilvl w:val="0"/>
          <w:numId w:val="10"/>
        </w:numPr>
        <w:spacing w:after="80" w:line="300" w:lineRule="auto"/>
      </w:pPr>
      <w:r>
        <w:t>32–40 assessment questions depending on grade;</w:t>
      </w:r>
    </w:p>
    <w:p>
      <w:pPr>
        <w:numPr>
          <w:ilvl w:val="0"/>
          <w:numId w:val="10"/>
        </w:numPr>
        <w:spacing w:after="80" w:line="300" w:lineRule="auto"/>
      </w:pPr>
      <w:r>
        <w:t>four matching parameters, unweighted;</w:t>
      </w:r>
    </w:p>
    <w:p>
      <w:pPr>
        <w:numPr>
          <w:ilvl w:val="0"/>
          <w:numId w:val="10"/>
        </w:numPr>
        <w:spacing w:after="80" w:line="300" w:lineRule="auto"/>
      </w:pPr>
      <w:r>
        <w:t>at least fifteen PPI framework entries per job, and four radar charts per report;</w:t>
      </w:r>
    </w:p>
    <w:p>
      <w:pPr>
        <w:numPr>
          <w:ilvl w:val="0"/>
          <w:numId w:val="10"/>
        </w:numPr>
        <w:spacing w:after="80" w:line="300" w:lineRule="auto"/>
      </w:pPr>
      <w:r>
        <w:t>25 candidate rows per review page;</w:t>
      </w:r>
    </w:p>
    <w:p>
      <w:pPr>
        <w:numPr>
          <w:ilvl w:val="0"/>
          <w:numId w:val="10"/>
        </w:numPr>
        <w:spacing w:after="80" w:line="300" w:lineRule="auto"/>
      </w:pPr>
      <w:r>
        <w:t>25 resumes per batch upload;</w:t>
      </w:r>
    </w:p>
    <w:p>
      <w:pPr>
        <w:numPr>
          <w:ilvl w:val="0"/>
          <w:numId w:val="10"/>
        </w:numPr>
        <w:spacing w:after="80" w:line="300" w:lineRule="auto"/>
      </w:pPr>
      <w:r>
        <w:t>200 candidates per invitation batch;</w:t>
      </w:r>
    </w:p>
    <w:p>
      <w:pPr>
        <w:numPr>
          <w:ilvl w:val="0"/>
          <w:numId w:val="10"/>
        </w:numPr>
        <w:spacing w:after="80" w:line="300" w:lineRule="auto"/>
      </w:pPr>
      <w:r>
        <w:t>30 active posting days plus five grace days;</w:t>
      </w:r>
    </w:p>
    <w:p>
      <w:pPr>
        <w:numPr>
          <w:ilvl w:val="0"/>
          <w:numId w:val="10"/>
        </w:numPr>
        <w:spacing w:after="80" w:line="300" w:lineRule="auto"/>
      </w:pPr>
      <w:r>
        <w:t>five-minute dashboard refresh;</w:t>
      </w:r>
    </w:p>
    <w:p>
      <w:pPr>
        <w:numPr>
          <w:ilvl w:val="0"/>
          <w:numId w:val="10"/>
        </w:numPr>
        <w:spacing w:after="80" w:line="300" w:lineRule="auto"/>
      </w:pPr>
      <w:r>
        <w:t>₹140–₹200 nominal self-service cost per monthly application allowance; and</w:t>
      </w:r>
    </w:p>
    <w:p>
      <w:pPr>
        <w:numPr>
          <w:ilvl w:val="0"/>
          <w:numId w:val="10"/>
        </w:numPr>
        <w:spacing w:after="80" w:line="300" w:lineRule="auto"/>
      </w:pPr>
      <w:r>
        <w:t>fractional charging for incomplete, no-show, and old-profile-review events.</w:t>
      </w:r>
    </w:p>
    <w:p>
      <w:r>
        <w:t xml:space="preserve">The current repository does </w:t>
      </w:r>
      <w:r>
        <w:rPr>
          <w:b/>
        </w:rPr>
        <w:t>not</w:t>
      </w:r>
      <w:r>
        <w:t xml:space="preserve"> contain production telemetry proving hours saved, cost saved, conversion uplift, accuracy, retention, or time-to-hire improvement. Marketing must not present such figures as proven.</w:t>
      </w:r>
    </w:p>
    <w:p>
      <w:r>
        <w:t>To establish defensible value, production analytics should measure:</w:t>
      </w:r>
    </w:p>
    <w:p>
      <w:pPr>
        <w:numPr>
          <w:ilvl w:val="0"/>
          <w:numId w:val="10"/>
        </w:numPr>
        <w:spacing w:after="80" w:line="300" w:lineRule="auto"/>
      </w:pPr>
      <w:r>
        <w:t>median time from job form start to publication;</w:t>
      </w:r>
    </w:p>
    <w:p>
      <w:pPr>
        <w:numPr>
          <w:ilvl w:val="0"/>
          <w:numId w:val="10"/>
        </w:numPr>
        <w:spacing w:after="80" w:line="300" w:lineRule="auto"/>
      </w:pPr>
      <w:r>
        <w:t>recruiter review minutes per candidate;</w:t>
      </w:r>
    </w:p>
    <w:p>
      <w:pPr>
        <w:numPr>
          <w:ilvl w:val="0"/>
          <w:numId w:val="10"/>
        </w:numPr>
        <w:spacing w:after="80" w:line="300" w:lineRule="auto"/>
      </w:pPr>
      <w:r>
        <w:t>percentage of matched candidates invited;</w:t>
      </w:r>
    </w:p>
    <w:p>
      <w:pPr>
        <w:numPr>
          <w:ilvl w:val="0"/>
          <w:numId w:val="10"/>
        </w:numPr>
        <w:spacing w:after="80" w:line="300" w:lineRule="auto"/>
      </w:pPr>
      <w:r>
        <w:t>invitation-open and assessment-completion rates;</w:t>
      </w:r>
    </w:p>
    <w:p>
      <w:pPr>
        <w:numPr>
          <w:ilvl w:val="0"/>
          <w:numId w:val="10"/>
        </w:numPr>
        <w:spacing w:after="80" w:line="300" w:lineRule="auto"/>
      </w:pPr>
      <w:r>
        <w:t>report-to-interview conversion;</w:t>
      </w:r>
    </w:p>
    <w:p>
      <w:pPr>
        <w:numPr>
          <w:ilvl w:val="0"/>
          <w:numId w:val="10"/>
        </w:numPr>
        <w:spacing w:after="80" w:line="300" w:lineRule="auto"/>
      </w:pPr>
      <w:r>
        <w:t>time from application to first decision;</w:t>
      </w:r>
    </w:p>
    <w:p>
      <w:pPr>
        <w:numPr>
          <w:ilvl w:val="0"/>
          <w:numId w:val="10"/>
        </w:numPr>
        <w:spacing w:after="80" w:line="300" w:lineRule="auto"/>
      </w:pPr>
      <w:r>
        <w:t>cost per completed assessment and per joined candidate;</w:t>
      </w:r>
    </w:p>
    <w:p>
      <w:pPr>
        <w:numPr>
          <w:ilvl w:val="0"/>
          <w:numId w:val="10"/>
        </w:numPr>
        <w:spacing w:after="80" w:line="300" w:lineRule="auto"/>
      </w:pPr>
      <w:r>
        <w:t>old-profile reuse rate;</w:t>
      </w:r>
    </w:p>
    <w:p>
      <w:pPr>
        <w:numPr>
          <w:ilvl w:val="0"/>
          <w:numId w:val="10"/>
        </w:numPr>
        <w:spacing w:after="80" w:line="300" w:lineRule="auto"/>
      </w:pPr>
      <w:r>
        <w:t>provider fallback rate; and</w:t>
      </w:r>
    </w:p>
    <w:p>
      <w:pPr>
        <w:numPr>
          <w:ilvl w:val="0"/>
          <w:numId w:val="10"/>
        </w:numPr>
        <w:spacing w:after="80" w:line="300" w:lineRule="auto"/>
      </w:pPr>
      <w:r>
        <w:t>hiring outcomes by match and report band.</w:t>
      </w:r>
    </w:p>
    <w:p>
      <w:r>
        <w:t>Customer-facing claims should be released only after cohort definition, consent, sample size, and calculation methods are documented.</w:t>
      </w:r>
    </w:p>
    <w:p>
      <w:pPr>
        <w:pStyle w:val="Heading1"/>
      </w:pPr>
      <w:r>
        <w:t>19. Explicit exclusions and superseded behavior</w:t>
      </w:r>
    </w:p>
    <w:p>
      <w:r>
        <w:t>The following older concepts are not active product requirements:</w:t>
      </w:r>
    </w:p>
    <w:p>
      <w:pPr>
        <w:numPr>
          <w:ilvl w:val="0"/>
          <w:numId w:val="10"/>
        </w:numPr>
        <w:spacing w:after="80" w:line="300" w:lineRule="auto"/>
      </w:pPr>
      <w:r>
        <w:t>a separate 40-question validation conversation in every assessment, now six mandatory application fields;</w:t>
      </w:r>
    </w:p>
    <w:p>
      <w:pPr>
        <w:numPr>
          <w:ilvl w:val="0"/>
          <w:numId w:val="10"/>
        </w:numPr>
        <w:spacing w:after="80" w:line="300" w:lineRule="auto"/>
      </w:pPr>
      <w:r>
        <w:t>a total 72–80 question assessment derived from that older design;</w:t>
      </w:r>
    </w:p>
    <w:p>
      <w:pPr>
        <w:numPr>
          <w:ilvl w:val="0"/>
          <w:numId w:val="10"/>
        </w:numPr>
        <w:spacing w:after="80" w:line="300" w:lineRule="auto"/>
      </w:pPr>
      <w:r>
        <w:t>a mandatory recruiter approval gate for generated technical question banks;</w:t>
      </w:r>
    </w:p>
    <w:p>
      <w:pPr>
        <w:numPr>
          <w:ilvl w:val="0"/>
          <w:numId w:val="10"/>
        </w:numPr>
        <w:spacing w:after="80" w:line="300" w:lineRule="auto"/>
      </w:pPr>
      <w:r>
        <w:t>a multi-level job approval workflow in the current company interface;</w:t>
      </w:r>
    </w:p>
    <w:p>
      <w:pPr>
        <w:numPr>
          <w:ilvl w:val="0"/>
          <w:numId w:val="10"/>
        </w:numPr>
        <w:spacing w:after="80" w:line="300" w:lineRule="auto"/>
      </w:pPr>
      <w:r>
        <w:t>automatic assessment access immediately after applying;</w:t>
      </w:r>
    </w:p>
    <w:p>
      <w:pPr>
        <w:numPr>
          <w:ilvl w:val="0"/>
          <w:numId w:val="10"/>
        </w:numPr>
        <w:spacing w:after="80" w:line="300" w:lineRule="auto"/>
      </w:pPr>
      <w:r>
        <w:t>numeric match or assessment scores exposed to users;</w:t>
      </w:r>
    </w:p>
    <w:p>
      <w:pPr>
        <w:numPr>
          <w:ilvl w:val="0"/>
          <w:numId w:val="10"/>
        </w:numPr>
        <w:spacing w:after="80" w:line="300" w:lineRule="auto"/>
      </w:pPr>
      <w:r>
        <w:t>provider editing of customer staff or compliance;</w:t>
      </w:r>
    </w:p>
    <w:p>
      <w:pPr>
        <w:numPr>
          <w:ilvl w:val="0"/>
          <w:numId w:val="10"/>
        </w:numPr>
        <w:spacing w:after="80" w:line="300" w:lineRule="auto"/>
      </w:pPr>
      <w:r>
        <w:t>feature gating by paid plan tier;</w:t>
      </w:r>
    </w:p>
    <w:p>
      <w:pPr>
        <w:numPr>
          <w:ilvl w:val="0"/>
          <w:numId w:val="10"/>
        </w:numPr>
        <w:spacing w:after="80" w:line="300" w:lineRule="auto"/>
      </w:pPr>
      <w:r>
        <w:t>an unlimited Hiring Manager count;</w:t>
      </w:r>
    </w:p>
    <w:p>
      <w:pPr>
        <w:numPr>
          <w:ilvl w:val="0"/>
          <w:numId w:val="10"/>
        </w:numPr>
        <w:spacing w:after="80" w:line="300" w:lineRule="auto"/>
      </w:pPr>
      <w:r>
        <w:t>a Mailtrap-based production email service; and</w:t>
      </w:r>
    </w:p>
    <w:p>
      <w:pPr>
        <w:numPr>
          <w:ilvl w:val="0"/>
          <w:numId w:val="10"/>
        </w:numPr>
        <w:spacing w:after="80" w:line="300" w:lineRule="auto"/>
      </w:pPr>
      <w:r>
        <w:t xml:space="preserve">a claim that “Grok” is an implemented AI provider. The code uses </w:t>
      </w:r>
      <w:r>
        <w:rPr>
          <w:b/>
        </w:rPr>
        <w:t>Groq</w:t>
      </w:r>
      <w:r>
        <w:t>, Gemini, and OpenRouter.</w:t>
      </w:r>
    </w:p>
    <w:p>
      <w:r>
        <w:t>Compatibility tables, endpoints, or helpers may remain in the repository for migrated records. Their presence alone does not make these items current user workflows.</w:t>
      </w:r>
    </w:p>
    <w:p>
      <w:pPr>
        <w:pStyle w:val="Heading1"/>
      </w:pPr>
      <w:r>
        <w:t>20. Quality requirements</w:t>
      </w:r>
    </w:p>
    <w:p>
      <w:pPr>
        <w:pStyle w:val="Heading2"/>
      </w:pPr>
      <w:r>
        <w:t>20.1 Security and privacy</w:t>
      </w:r>
    </w:p>
    <w:p>
      <w:pPr>
        <w:numPr>
          <w:ilvl w:val="0"/>
          <w:numId w:val="10"/>
        </w:numPr>
        <w:spacing w:after="80" w:line="300" w:lineRule="auto"/>
      </w:pPr>
      <w:r>
        <w:t>Every tenant-bound query must preserve row-level tenant isolation.</w:t>
      </w:r>
    </w:p>
    <w:p>
      <w:pPr>
        <w:numPr>
          <w:ilvl w:val="0"/>
          <w:numId w:val="10"/>
        </w:numPr>
        <w:spacing w:after="80" w:line="300" w:lineRule="auto"/>
      </w:pPr>
      <w:r>
        <w:t>Provider bypass operations must be explicitly scoped and audited.</w:t>
      </w:r>
    </w:p>
    <w:p>
      <w:pPr>
        <w:numPr>
          <w:ilvl w:val="0"/>
          <w:numId w:val="10"/>
        </w:numPr>
        <w:spacing w:after="80" w:line="300" w:lineRule="auto"/>
      </w:pPr>
      <w:r>
        <w:t>Sensitive files must require authenticated access.</w:t>
      </w:r>
    </w:p>
    <w:p>
      <w:pPr>
        <w:numPr>
          <w:ilvl w:val="0"/>
          <w:numId w:val="10"/>
        </w:numPr>
        <w:spacing w:after="80" w:line="300" w:lineRule="auto"/>
      </w:pPr>
      <w:r>
        <w:t>Secrets must not be committed or embedded in browser bundles.</w:t>
      </w:r>
    </w:p>
    <w:p>
      <w:pPr>
        <w:numPr>
          <w:ilvl w:val="0"/>
          <w:numId w:val="10"/>
        </w:numPr>
        <w:spacing w:after="80" w:line="300" w:lineRule="auto"/>
      </w:pPr>
      <w:r>
        <w:t>Public token endpoints must be rate-limited and expire or settle according to their workflow.</w:t>
      </w:r>
    </w:p>
    <w:p>
      <w:pPr>
        <w:numPr>
          <w:ilvl w:val="0"/>
          <w:numId w:val="10"/>
        </w:numPr>
        <w:spacing w:after="80" w:line="300" w:lineRule="auto"/>
      </w:pPr>
      <w:r>
        <w:t>Candidate data sent to AI providers must be minimized.</w:t>
      </w:r>
    </w:p>
    <w:p>
      <w:pPr>
        <w:pStyle w:val="Heading2"/>
      </w:pPr>
      <w:r>
        <w:t>20.2 Reliability</w:t>
      </w:r>
    </w:p>
    <w:p>
      <w:pPr>
        <w:numPr>
          <w:ilvl w:val="0"/>
          <w:numId w:val="10"/>
        </w:numPr>
        <w:spacing w:after="80" w:line="300" w:lineRule="auto"/>
      </w:pPr>
      <w:r>
        <w:t>Background tasks must be retry-safe and idempotent.</w:t>
      </w:r>
    </w:p>
    <w:p>
      <w:pPr>
        <w:numPr>
          <w:ilvl w:val="0"/>
          <w:numId w:val="10"/>
        </w:numPr>
        <w:spacing w:after="80" w:line="300" w:lineRule="auto"/>
      </w:pPr>
      <w:r>
        <w:t>Billing webhooks and ledger events must deduplicate repeated delivery.</w:t>
      </w:r>
    </w:p>
    <w:p>
      <w:pPr>
        <w:numPr>
          <w:ilvl w:val="0"/>
          <w:numId w:val="10"/>
        </w:numPr>
        <w:spacing w:after="80" w:line="300" w:lineRule="auto"/>
      </w:pPr>
      <w:r>
        <w:t>AI workflows must record provider/fallback mode.</w:t>
      </w:r>
    </w:p>
    <w:p>
      <w:pPr>
        <w:numPr>
          <w:ilvl w:val="0"/>
          <w:numId w:val="10"/>
        </w:numPr>
        <w:spacing w:after="80" w:line="300" w:lineRule="auto"/>
      </w:pPr>
      <w:r>
        <w:t>A provider outage must degrade to deterministic output where implemented rather than corrupt workflow state.</w:t>
      </w:r>
    </w:p>
    <w:p>
      <w:pPr>
        <w:pStyle w:val="Heading2"/>
      </w:pPr>
      <w:r>
        <w:t>20.3 Accessibility and responsive behavior</w:t>
      </w:r>
    </w:p>
    <w:p>
      <w:pPr>
        <w:numPr>
          <w:ilvl w:val="0"/>
          <w:numId w:val="10"/>
        </w:numPr>
        <w:spacing w:after="80" w:line="300" w:lineRule="auto"/>
      </w:pPr>
      <w:r>
        <w:t>Public and portal navigation must remain keyboard accessible.</w:t>
      </w:r>
    </w:p>
    <w:p>
      <w:pPr>
        <w:numPr>
          <w:ilvl w:val="0"/>
          <w:numId w:val="10"/>
        </w:numPr>
        <w:spacing w:after="80" w:line="300" w:lineRule="auto"/>
      </w:pPr>
      <w:r>
        <w:t>Controls must have visible focus and usable labels.</w:t>
      </w:r>
    </w:p>
    <w:p>
      <w:pPr>
        <w:numPr>
          <w:ilvl w:val="0"/>
          <w:numId w:val="10"/>
        </w:numPr>
        <w:spacing w:after="80" w:line="300" w:lineRule="auto"/>
      </w:pPr>
      <w:r>
        <w:t>Data tables must have mobile alternatives or horizontal containment.</w:t>
      </w:r>
    </w:p>
    <w:p>
      <w:pPr>
        <w:numPr>
          <w:ilvl w:val="0"/>
          <w:numId w:val="10"/>
        </w:numPr>
        <w:spacing w:after="80" w:line="300" w:lineRule="auto"/>
      </w:pPr>
      <w:r>
        <w:t>Motion must respect reduced-motion preferences.</w:t>
      </w:r>
    </w:p>
    <w:p>
      <w:pPr>
        <w:numPr>
          <w:ilvl w:val="0"/>
          <w:numId w:val="10"/>
        </w:numPr>
        <w:spacing w:after="80" w:line="300" w:lineRule="auto"/>
      </w:pPr>
      <w:r>
        <w:t>Color cannot be the only carrier of a status or rating.</w:t>
      </w:r>
    </w:p>
    <w:p>
      <w:pPr>
        <w:pStyle w:val="Heading1"/>
      </w:pPr>
      <w:r>
        <w:t>21. Current product limitations</w:t>
      </w:r>
    </w:p>
    <w:p>
      <w:pPr>
        <w:numPr>
          <w:ilvl w:val="0"/>
          <w:numId w:val="10"/>
        </w:numPr>
        <w:spacing w:after="80" w:line="300" w:lineRule="auto"/>
      </w:pPr>
      <w:r>
        <w:t>Quantified customer ROI is not instrumented.</w:t>
      </w:r>
    </w:p>
    <w:p>
      <w:pPr>
        <w:numPr>
          <w:ilvl w:val="0"/>
          <w:numId w:val="10"/>
        </w:numPr>
        <w:spacing w:after="80" w:line="300" w:lineRule="auto"/>
      </w:pPr>
      <w:r>
        <w:t>Provider customer editing is intentionally narrow.</w:t>
      </w:r>
    </w:p>
    <w:p>
      <w:pPr>
        <w:numPr>
          <w:ilvl w:val="0"/>
          <w:numId w:val="10"/>
        </w:numPr>
        <w:spacing w:after="80" w:line="300" w:lineRule="auto"/>
      </w:pPr>
      <w:r>
        <w:t>Employer-verification inbound email parsing has an API, but production inbound-mail delivery still needs an operational provider integration.</w:t>
      </w:r>
    </w:p>
    <w:p>
      <w:pPr>
        <w:numPr>
          <w:ilvl w:val="0"/>
          <w:numId w:val="10"/>
        </w:numPr>
        <w:spacing w:after="80" w:line="300" w:lineRule="auto"/>
      </w:pPr>
      <w:r>
        <w:t>Interview rounds are stored, but feedback and round-completion tooling are less complete than scheduling.</w:t>
      </w:r>
    </w:p>
    <w:p>
      <w:pPr>
        <w:numPr>
          <w:ilvl w:val="0"/>
          <w:numId w:val="10"/>
        </w:numPr>
        <w:spacing w:after="80" w:line="300" w:lineRule="auto"/>
      </w:pPr>
      <w:r>
        <w:t>AI fallbacks preserve workflow continuity but do not replace human review of high-stakes hiring decisions.</w:t>
      </w:r>
    </w:p>
    <w:p>
      <w:pPr>
        <w:numPr>
          <w:ilvl w:val="0"/>
          <w:numId w:val="10"/>
        </w:numPr>
        <w:spacing w:after="80" w:line="300" w:lineRule="auto"/>
      </w:pPr>
      <w:r>
        <w:t>Some dormant legacy models and endpoints remain and can confuse maintainers.</w:t>
      </w:r>
    </w:p>
    <w:p>
      <w:pPr>
        <w:numPr>
          <w:ilvl w:val="0"/>
          <w:numId w:val="10"/>
        </w:numPr>
        <w:spacing w:after="80" w:line="300" w:lineRule="auto"/>
      </w:pPr>
      <w:r>
        <w:t>File retention, malware scanning, data-subject workflows, and regional processing policies require production hardening.</w:t>
      </w:r>
    </w:p>
    <w:p>
      <w:pPr>
        <w:pStyle w:val="Heading1"/>
      </w:pPr>
      <w:r>
        <w:t>22. Concise roadmap</w:t>
      </w:r>
    </w:p>
    <w:p>
      <w:pPr>
        <w:pStyle w:val="Heading2"/>
      </w:pPr>
      <w:r>
        <w:t>Near term</w:t>
      </w:r>
    </w:p>
    <w:p>
      <w:pPr>
        <w:numPr>
          <w:ilvl w:val="0"/>
          <w:numId w:val="10"/>
        </w:numPr>
        <w:spacing w:after="80" w:line="300" w:lineRule="auto"/>
      </w:pPr>
      <w:r>
        <w:t>add product analytics for the evidence metrics in Section 18;</w:t>
      </w:r>
    </w:p>
    <w:p>
      <w:pPr>
        <w:numPr>
          <w:ilvl w:val="0"/>
          <w:numId w:val="10"/>
        </w:numPr>
        <w:spacing w:after="80" w:line="300" w:lineRule="auto"/>
      </w:pPr>
      <w:r>
        <w:t>complete interview feedback and round-management UX;</w:t>
      </w:r>
    </w:p>
    <w:p>
      <w:pPr>
        <w:numPr>
          <w:ilvl w:val="0"/>
          <w:numId w:val="10"/>
        </w:numPr>
        <w:spacing w:after="80" w:line="300" w:lineRule="auto"/>
      </w:pPr>
      <w:r>
        <w:t>integrate production inbound email for verification;</w:t>
      </w:r>
    </w:p>
    <w:p>
      <w:pPr>
        <w:numPr>
          <w:ilvl w:val="0"/>
          <w:numId w:val="10"/>
        </w:numPr>
        <w:spacing w:after="80" w:line="300" w:lineRule="auto"/>
      </w:pPr>
      <w:r>
        <w:t>harden file security, retention, and malware scanning;</w:t>
      </w:r>
    </w:p>
    <w:p>
      <w:pPr>
        <w:numPr>
          <w:ilvl w:val="0"/>
          <w:numId w:val="10"/>
        </w:numPr>
        <w:spacing w:after="80" w:line="300" w:lineRule="auto"/>
      </w:pPr>
      <w:r>
        <w:t>remove dormant multi-level job-approval and OTP paths after migration review; and</w:t>
      </w:r>
    </w:p>
    <w:p>
      <w:pPr>
        <w:numPr>
          <w:ilvl w:val="0"/>
          <w:numId w:val="10"/>
        </w:numPr>
        <w:spacing w:after="80" w:line="300" w:lineRule="auto"/>
      </w:pPr>
      <w:r>
        <w:t>add end-to-end regression coverage for the four workspaces.</w:t>
      </w:r>
    </w:p>
    <w:p>
      <w:pPr>
        <w:pStyle w:val="Heading2"/>
      </w:pPr>
      <w:r>
        <w:t>Scale stage</w:t>
      </w:r>
    </w:p>
    <w:p>
      <w:pPr>
        <w:numPr>
          <w:ilvl w:val="0"/>
          <w:numId w:val="10"/>
        </w:numPr>
        <w:spacing w:after="80" w:line="300" w:lineRule="auto"/>
      </w:pPr>
      <w:r>
        <w:t>introduce enterprise identity and audit exports;</w:t>
      </w:r>
    </w:p>
    <w:p>
      <w:pPr>
        <w:numPr>
          <w:ilvl w:val="0"/>
          <w:numId w:val="10"/>
        </w:numPr>
        <w:spacing w:after="80" w:line="300" w:lineRule="auto"/>
      </w:pPr>
      <w:r>
        <w:t>support configurable hiring workflows without breaking the default pipeline;</w:t>
      </w:r>
    </w:p>
    <w:p>
      <w:pPr>
        <w:numPr>
          <w:ilvl w:val="0"/>
          <w:numId w:val="10"/>
        </w:numPr>
        <w:spacing w:after="80" w:line="300" w:lineRule="auto"/>
      </w:pPr>
      <w:r>
        <w:t>add customer-controlled retention and regional data policies;</w:t>
      </w:r>
    </w:p>
    <w:p>
      <w:pPr>
        <w:numPr>
          <w:ilvl w:val="0"/>
          <w:numId w:val="10"/>
        </w:numPr>
        <w:spacing w:after="80" w:line="300" w:lineRule="auto"/>
      </w:pPr>
      <w:r>
        <w:t>build outcome-calibrated matching evaluation with bias and quality monitoring; and</w:t>
      </w:r>
    </w:p>
    <w:p>
      <w:pPr>
        <w:numPr>
          <w:ilvl w:val="0"/>
          <w:numId w:val="10"/>
        </w:numPr>
        <w:spacing w:after="80" w:line="300" w:lineRule="auto"/>
      </w:pPr>
      <w:r>
        <w:t>expose operational service health and SLA reporting for enterprise customers.</w:t>
      </w:r>
    </w:p>
    <w:sectPr w:rsidR="00FC693F" w:rsidRPr="0006063C" w:rsidSect="00034616">
      <w:headerReference w:type="default" r:id="rId10"/>
      <w:footerReference w:type="defaul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 xml:space="preserve">Implementation snapshot · 29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475569"/>
        <w:sz w:val="16"/>
      </w:rPr>
      <w:t>PICKREADY  /  PICKREADY PRODUCT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abstractNum w:abstractNumId="10">
    <w:multiLevelType w:val="singleLevel"/>
    <w:lvl w:ilvl="0">
      <w:start w:val="1"/>
      <w:numFmt w:val="decimal"/>
      <w:lvlText w:val="%1."/>
      <w:suff w:val="tab"/>
      <w:pPr>
        <w:tabs>
          <w:tab w:val="num" w:pos="540"/>
        </w:tabs>
        <w:ind w:left="540" w:hanging="270"/>
      </w:pPr>
    </w:lvl>
  </w:abstract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76" w:lineRule="auto" w:before="0"/>
      <w:contextualSpacing/>
    </w:pPr>
    <w:rPr>
      <w:rFonts w:asciiTheme="majorHAnsi" w:eastAsiaTheme="majorEastAsia" w:hAnsiTheme="majorHAnsi" w:cstheme="majorBidi" w:ascii="Calibri" w:hAnsi="Calibri"/>
      <w:b/>
      <w:color w:val="5028E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line="276" w:lineRule="auto"/>
    </w:pPr>
    <w:rPr>
      <w:rFonts w:asciiTheme="majorHAnsi" w:eastAsiaTheme="majorEastAsia" w:hAnsiTheme="majorHAnsi" w:cstheme="majorBidi" w:ascii="Calibri" w:hAnsi="Calibri"/>
      <w:b/>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Eyebrow">
    <w:name w:val="Document Eyebrow"/>
    <w:pPr>
      <w:keepNext/>
      <w:spacing w:after="160"/>
    </w:pPr>
    <w:rPr>
      <w:rFonts w:ascii="Calibri" w:hAnsi="Calibri"/>
      <w:b/>
      <w:color w:val="5028E0"/>
      <w:sz w:val="18"/>
    </w:rPr>
  </w:style>
  <w:style w:type="paragraph" w:customStyle="1" w:styleId="CodeBlock">
    <w:name w:val="Code Block"/>
    <w:pPr>
      <w:spacing w:before="80" w:after="160" w:line="264" w:lineRule="auto"/>
      <w:ind w:left="259" w:right="259"/>
    </w:pPr>
    <w:rPr>
      <w:rFonts w:ascii="Consolas" w:hAnsi="Consolas"/>
      <w:color w:val="1F4D78"/>
      <w:sz w:val="17"/>
    </w:rPr>
  </w:style>
  <w:style w:type="paragraph" w:customStyle="1" w:styleId="SourceNote">
    <w:name w:val="Source Note"/>
    <w:pPr>
      <w:spacing w:before="80" w:after="80"/>
    </w:pPr>
    <w:rPr>
      <w:rFonts w:ascii="Calibri" w:hAnsi="Calibri"/>
      <w:i/>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PickReady Product Documentation</dc:title>
  <dc:subject>What the product does, how people use it, and where its measurable value comes from</dc:subject>
  <dc:creator>PickReady</dc:creator>
  <cp:keywords>PickReady, hiring, product documentation, technical documentation</cp:keywords>
  <dc:description>Generated from the implementation-aligned PRD/ESD snapshot dated 29 July 2026.</dc:description>
  <cp:lastModifiedBy/>
  <cp:revision>1</cp:revision>
  <dcterms:created xsi:type="dcterms:W3CDTF">2013-12-23T23:15:00Z</dcterms:created>
  <dcterms:modified xsi:type="dcterms:W3CDTF">2013-12-23T23:15:00Z</dcterms:modified>
  <cp:category/>
</cp:coreProperties>
</file>