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0771" w14:textId="77777777" w:rsidR="009E57FC" w:rsidRDefault="00000000">
      <w:pPr>
        <w:spacing w:before="400"/>
        <w:jc w:val="center"/>
      </w:pPr>
      <w:r>
        <w:rPr>
          <w:noProof/>
        </w:rPr>
        <w:drawing>
          <wp:inline distT="0" distB="0" distL="0" distR="0" wp14:anchorId="1209FC79" wp14:editId="78AF28E9">
            <wp:extent cx="1047750" cy="68290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3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82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C6BB7" w14:textId="77777777" w:rsidR="009E57FC" w:rsidRDefault="00000000">
      <w:pPr>
        <w:spacing w:before="260" w:after="80"/>
        <w:jc w:val="center"/>
      </w:pPr>
      <w:r>
        <w:rPr>
          <w:b/>
          <w:bCs/>
          <w:color w:val="1E8A5F"/>
          <w:spacing w:val="20"/>
          <w:sz w:val="24"/>
          <w:szCs w:val="24"/>
        </w:rPr>
        <w:t>PHARMABRIDGE ACADEMY</w:t>
      </w:r>
    </w:p>
    <w:p w14:paraId="6E8D3A72" w14:textId="77777777" w:rsidR="009E57FC" w:rsidRDefault="00000000">
      <w:pPr>
        <w:spacing w:after="360"/>
        <w:jc w:val="center"/>
      </w:pPr>
      <w:r>
        <w:rPr>
          <w:i/>
          <w:iCs/>
          <w:color w:val="6B6B6B"/>
          <w:sz w:val="18"/>
          <w:szCs w:val="18"/>
        </w:rPr>
        <w:t>Bridging Pharmacy Education with Industry Excellence</w:t>
      </w:r>
    </w:p>
    <w:p w14:paraId="3B0827FE" w14:textId="77777777" w:rsidR="009E57FC" w:rsidRDefault="00000000">
      <w:pPr>
        <w:spacing w:before="200" w:after="160"/>
        <w:jc w:val="center"/>
      </w:pPr>
      <w:r>
        <w:rPr>
          <w:b/>
          <w:bCs/>
          <w:color w:val="0F5C3C"/>
          <w:sz w:val="44"/>
          <w:szCs w:val="44"/>
        </w:rPr>
        <w:t>Quality &amp; Ethics</w:t>
      </w:r>
    </w:p>
    <w:p w14:paraId="76640459" w14:textId="2765A4A4" w:rsidR="009E57FC" w:rsidRDefault="00000000" w:rsidP="00A26B8A">
      <w:pPr>
        <w:spacing w:before="120" w:after="200"/>
        <w:jc w:val="center"/>
        <w:sectPr w:rsidR="009E57FC">
          <w:pgSz w:w="12240" w:h="15840"/>
          <w:pgMar w:top="1000" w:right="1150" w:bottom="1000" w:left="115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991C5CE" wp14:editId="085E2783">
            <wp:extent cx="5715000" cy="1790700"/>
            <wp:effectExtent l="0" t="0" r="0" b="0"/>
            <wp:docPr id="151359428" name="Picture 151359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387" w14:textId="77777777" w:rsidR="009E57FC" w:rsidRDefault="00000000">
      <w:pPr>
        <w:pStyle w:val="Heading1"/>
        <w:pageBreakBefore/>
        <w:pBdr>
          <w:bottom w:val="single" w:sz="8" w:space="4" w:color="1E8A5F"/>
        </w:pBdr>
        <w:spacing w:after="160"/>
      </w:pPr>
      <w:r>
        <w:rPr>
          <w:b/>
          <w:bCs/>
          <w:color w:val="0F5C3C"/>
          <w:sz w:val="30"/>
          <w:szCs w:val="30"/>
        </w:rPr>
        <w:lastRenderedPageBreak/>
        <w:t>The Big Picture</w:t>
      </w:r>
    </w:p>
    <w:p w14:paraId="207F4326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>Unlike most other modules in this programme, quality and ethics aren't tied to a specific department or lifecycle stage — they're expectations that apply to absolutely everyone in pharma, from a lab technician to a CEO. A single lapse in data integrity or ethics can undo years of otherwise excellent scientific work.</w:t>
      </w:r>
    </w:p>
    <w:p w14:paraId="4D3FBB15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>This overview covers the four ideas you'll be expected to understand and live by, regardless of which part of the industry you eventually join.</w:t>
      </w:r>
    </w:p>
    <w:p w14:paraId="20F8E9E6" w14:textId="77777777" w:rsidR="009E57FC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1. </w:t>
      </w:r>
      <w:r>
        <w:rPr>
          <w:b/>
          <w:bCs/>
          <w:color w:val="0F5C3C"/>
          <w:sz w:val="29"/>
          <w:szCs w:val="29"/>
        </w:rPr>
        <w:t>Data Integrity (ALCOA+)</w:t>
      </w:r>
    </w:p>
    <w:p w14:paraId="0831EB28" w14:textId="77777777" w:rsidR="009E57FC" w:rsidRDefault="00000000">
      <w:pPr>
        <w:spacing w:after="160"/>
      </w:pPr>
      <w:r>
        <w:rPr>
          <w:i/>
          <w:iCs/>
          <w:color w:val="6B6B6B"/>
        </w:rPr>
        <w:t xml:space="preserve">Applies </w:t>
      </w:r>
      <w:proofErr w:type="gramStart"/>
      <w:r>
        <w:rPr>
          <w:i/>
          <w:iCs/>
          <w:color w:val="6B6B6B"/>
        </w:rPr>
        <w:t>to:</w:t>
      </w:r>
      <w:proofErr w:type="gramEnd"/>
      <w:r>
        <w:rPr>
          <w:i/>
          <w:iCs/>
          <w:color w:val="6B6B6B"/>
        </w:rPr>
        <w:t xml:space="preserve"> every record, in every department</w:t>
      </w:r>
    </w:p>
    <w:p w14:paraId="7E1725C2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 xml:space="preserve">Data integrity means the information a company records — trial results, batch records, lab results — can be trusted completely. ALCOA+ is the widely used framework that defines what "trustworthy data" </w:t>
      </w:r>
      <w:proofErr w:type="gramStart"/>
      <w:r>
        <w:rPr>
          <w:color w:val="222222"/>
          <w:sz w:val="22"/>
          <w:szCs w:val="22"/>
        </w:rPr>
        <w:t>actually looks</w:t>
      </w:r>
      <w:proofErr w:type="gramEnd"/>
      <w:r>
        <w:rPr>
          <w:color w:val="222222"/>
          <w:sz w:val="22"/>
          <w:szCs w:val="22"/>
        </w:rPr>
        <w:t xml:space="preserve"> like in practice.</w:t>
      </w:r>
    </w:p>
    <w:p w14:paraId="59108793" w14:textId="77777777" w:rsidR="009E57FC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F1E7E7F" wp14:editId="6FE78090">
            <wp:extent cx="6286500" cy="2476500"/>
            <wp:effectExtent l="0" t="0" r="0" b="0"/>
            <wp:docPr id="1143346877" name="Picture 1143346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F53B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Originally five principles (ALCOA), later expanded with four more (the "+") as records became more digital.</w:t>
      </w:r>
    </w:p>
    <w:p w14:paraId="0025C8AE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Regulators check for ALCOA+ compliance during almost every inspection.</w:t>
      </w:r>
    </w:p>
    <w:p w14:paraId="4490726F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A single altered or backdated record can call an entire dataset into question.</w:t>
      </w:r>
    </w:p>
    <w:p w14:paraId="7482E124" w14:textId="77777777" w:rsidR="009E57FC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2. </w:t>
      </w:r>
      <w:r>
        <w:rPr>
          <w:b/>
          <w:bCs/>
          <w:color w:val="0F5C3C"/>
          <w:sz w:val="29"/>
          <w:szCs w:val="29"/>
        </w:rPr>
        <w:t>Ethics</w:t>
      </w:r>
    </w:p>
    <w:p w14:paraId="5C0421FB" w14:textId="77777777" w:rsidR="009E57FC" w:rsidRDefault="00000000">
      <w:pPr>
        <w:spacing w:after="160"/>
      </w:pPr>
      <w:r>
        <w:rPr>
          <w:i/>
          <w:iCs/>
          <w:color w:val="6B6B6B"/>
        </w:rPr>
        <w:t xml:space="preserve">Applies </w:t>
      </w:r>
      <w:proofErr w:type="gramStart"/>
      <w:r>
        <w:rPr>
          <w:i/>
          <w:iCs/>
          <w:color w:val="6B6B6B"/>
        </w:rPr>
        <w:t>to:</w:t>
      </w:r>
      <w:proofErr w:type="gramEnd"/>
      <w:r>
        <w:rPr>
          <w:i/>
          <w:iCs/>
          <w:color w:val="6B6B6B"/>
        </w:rPr>
        <w:t xml:space="preserve"> clinical research, and every decision involving people</w:t>
      </w:r>
    </w:p>
    <w:p w14:paraId="2598766C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>Ethics in pharma is about protecting the people whose participation makes medicines possible — trial volunteers, patients, and the wider public. It means being honest about risks, respecting people's right to choose, and never cutting corners that could put someone at risk.</w:t>
      </w:r>
    </w:p>
    <w:p w14:paraId="6503D7B6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lastRenderedPageBreak/>
        <w:t>Informed consent is the clearest example: participants must fully understand and agree to a trial before joining.</w:t>
      </w:r>
    </w:p>
    <w:p w14:paraId="5F775016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Ethics committees (Institutional Review Boards) independently review trials before they can start.</w:t>
      </w:r>
    </w:p>
    <w:p w14:paraId="7F483634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Ethical failures — even well-intentioned ones — can permanently damage public trust in an entire company or industry.</w:t>
      </w:r>
    </w:p>
    <w:p w14:paraId="10545D68" w14:textId="77777777" w:rsidR="009E57FC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3. </w:t>
      </w:r>
      <w:r>
        <w:rPr>
          <w:b/>
          <w:bCs/>
          <w:color w:val="0F5C3C"/>
          <w:sz w:val="29"/>
          <w:szCs w:val="29"/>
        </w:rPr>
        <w:t>Patient Safety</w:t>
      </w:r>
    </w:p>
    <w:p w14:paraId="0F9023A5" w14:textId="77777777" w:rsidR="009E57FC" w:rsidRDefault="00000000">
      <w:pPr>
        <w:spacing w:after="160"/>
      </w:pPr>
      <w:r>
        <w:rPr>
          <w:i/>
          <w:iCs/>
          <w:color w:val="6B6B6B"/>
        </w:rPr>
        <w:t xml:space="preserve">Applies </w:t>
      </w:r>
      <w:proofErr w:type="gramStart"/>
      <w:r>
        <w:rPr>
          <w:i/>
          <w:iCs/>
          <w:color w:val="6B6B6B"/>
        </w:rPr>
        <w:t>to:</w:t>
      </w:r>
      <w:proofErr w:type="gramEnd"/>
      <w:r>
        <w:rPr>
          <w:i/>
          <w:iCs/>
          <w:color w:val="6B6B6B"/>
        </w:rPr>
        <w:t xml:space="preserve"> every stage, from Discovery to Post-Market Surveillance</w:t>
      </w:r>
    </w:p>
    <w:p w14:paraId="27B421A6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 xml:space="preserve">Patient safety is the reason every other standard in this programme exists — </w:t>
      </w:r>
      <w:proofErr w:type="spellStart"/>
      <w:r>
        <w:rPr>
          <w:color w:val="222222"/>
          <w:sz w:val="22"/>
          <w:szCs w:val="22"/>
        </w:rPr>
        <w:t>GxP</w:t>
      </w:r>
      <w:proofErr w:type="spellEnd"/>
      <w:r>
        <w:rPr>
          <w:color w:val="222222"/>
          <w:sz w:val="22"/>
          <w:szCs w:val="22"/>
        </w:rPr>
        <w:t>, documentation, regulations, and data integrity all ultimately trace back to one goal: making sure medicines help people without causing unnecessary harm.</w:t>
      </w:r>
    </w:p>
    <w:p w14:paraId="447B9354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Safety monitoring doesn't stop at approval — it continues for as long as a medicine is on the market.</w:t>
      </w:r>
    </w:p>
    <w:p w14:paraId="53CFD5EE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Even small decisions, like how carefully a batch record is filled out, connect back to patient safety.</w:t>
      </w:r>
    </w:p>
    <w:p w14:paraId="674EF230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When in doubt, the safest choice for the patient is always the right one to raise, even if it slows things down.</w:t>
      </w:r>
    </w:p>
    <w:p w14:paraId="5AADF666" w14:textId="77777777" w:rsidR="009E57FC" w:rsidRDefault="00000000">
      <w:pPr>
        <w:spacing w:before="420" w:after="80"/>
      </w:pPr>
      <w:r>
        <w:rPr>
          <w:b/>
          <w:bCs/>
          <w:color w:val="1E8A5F"/>
          <w:sz w:val="29"/>
          <w:szCs w:val="29"/>
        </w:rPr>
        <w:t xml:space="preserve">4. </w:t>
      </w:r>
      <w:r>
        <w:rPr>
          <w:b/>
          <w:bCs/>
          <w:color w:val="0F5C3C"/>
          <w:sz w:val="29"/>
          <w:szCs w:val="29"/>
        </w:rPr>
        <w:t>Quality Culture</w:t>
      </w:r>
    </w:p>
    <w:p w14:paraId="5ED29486" w14:textId="77777777" w:rsidR="009E57FC" w:rsidRDefault="00000000">
      <w:pPr>
        <w:spacing w:after="160"/>
      </w:pPr>
      <w:r>
        <w:rPr>
          <w:i/>
          <w:iCs/>
          <w:color w:val="6B6B6B"/>
        </w:rPr>
        <w:t xml:space="preserve">Applies </w:t>
      </w:r>
      <w:proofErr w:type="gramStart"/>
      <w:r>
        <w:rPr>
          <w:i/>
          <w:iCs/>
          <w:color w:val="6B6B6B"/>
        </w:rPr>
        <w:t>to:</w:t>
      </w:r>
      <w:proofErr w:type="gramEnd"/>
      <w:r>
        <w:rPr>
          <w:i/>
          <w:iCs/>
          <w:color w:val="6B6B6B"/>
        </w:rPr>
        <w:t xml:space="preserve"> the whole organisation, at every level</w:t>
      </w:r>
    </w:p>
    <w:p w14:paraId="4F98C0FB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>A quality culture means quality isn't just a department's job — it's a shared mindset. It shows up in whether people speak up about a problem, follow procedures even when no one is watching, and treat documentation as important rather than a formality.</w:t>
      </w:r>
    </w:p>
    <w:p w14:paraId="32303108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Strong quality cultures encourage employees to report mistakes early, rather than hide them.</w:t>
      </w:r>
    </w:p>
    <w:p w14:paraId="7DD5BD32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 xml:space="preserve">Leadership </w:t>
      </w:r>
      <w:proofErr w:type="spellStart"/>
      <w:r>
        <w:rPr>
          <w:color w:val="222222"/>
          <w:sz w:val="22"/>
          <w:szCs w:val="22"/>
        </w:rPr>
        <w:t>behavior</w:t>
      </w:r>
      <w:proofErr w:type="spellEnd"/>
      <w:r>
        <w:rPr>
          <w:color w:val="222222"/>
          <w:sz w:val="22"/>
          <w:szCs w:val="22"/>
        </w:rPr>
        <w:t xml:space="preserve"> sets the tone — if managers cut corners, teams will too.</w:t>
      </w:r>
    </w:p>
    <w:p w14:paraId="0BC81756" w14:textId="77777777" w:rsidR="009E57FC" w:rsidRDefault="00000000">
      <w:pPr>
        <w:pStyle w:val="ListParagraph"/>
        <w:numPr>
          <w:ilvl w:val="0"/>
          <w:numId w:val="2"/>
        </w:numPr>
        <w:spacing w:after="110" w:line="310" w:lineRule="auto"/>
      </w:pPr>
      <w:r>
        <w:rPr>
          <w:color w:val="222222"/>
          <w:sz w:val="22"/>
          <w:szCs w:val="22"/>
        </w:rPr>
        <w:t>Companies with weak quality cultures tend to have more repeat inspection findings over time.</w:t>
      </w:r>
    </w:p>
    <w:p w14:paraId="1633EE93" w14:textId="77777777" w:rsidR="009E57FC" w:rsidRDefault="00000000">
      <w:pPr>
        <w:pBdr>
          <w:left w:val="single" w:sz="16" w:space="8" w:color="1E8A5F"/>
        </w:pBdr>
        <w:shd w:val="clear" w:color="auto" w:fill="E8F5EE"/>
        <w:spacing w:before="100" w:after="180"/>
        <w:ind w:left="200"/>
      </w:pPr>
      <w:r>
        <w:rPr>
          <w:i/>
          <w:iCs/>
          <w:color w:val="0F5C3C"/>
          <w:sz w:val="19"/>
          <w:szCs w:val="19"/>
        </w:rPr>
        <w:t>Reflect: A good quality culture means doing the right thing even when it's inconvenient, not just when someone is checking.</w:t>
      </w:r>
    </w:p>
    <w:p w14:paraId="615436F2" w14:textId="77777777" w:rsidR="009E57FC" w:rsidRDefault="00000000">
      <w:pPr>
        <w:pBdr>
          <w:bottom w:val="single" w:sz="8" w:space="4" w:color="1E8A5F"/>
        </w:pBdr>
        <w:spacing w:before="300" w:after="140"/>
      </w:pPr>
      <w:r>
        <w:rPr>
          <w:b/>
          <w:bCs/>
          <w:color w:val="0F5C3C"/>
          <w:sz w:val="27"/>
          <w:szCs w:val="27"/>
        </w:rPr>
        <w:t>Quick Reference: All Four Ideas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00"/>
        <w:gridCol w:w="2900"/>
      </w:tblGrid>
      <w:tr w:rsidR="009E57FC" w14:paraId="3344A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CCEEF" w14:textId="77777777" w:rsidR="009E57FC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8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2B8BAE" w14:textId="77777777" w:rsidR="009E57FC" w:rsidRDefault="00000000">
            <w:r>
              <w:rPr>
                <w:b/>
                <w:bCs/>
                <w:color w:val="FFFFFF"/>
                <w:sz w:val="19"/>
                <w:szCs w:val="19"/>
              </w:rPr>
              <w:t>Core Idea</w:t>
            </w:r>
          </w:p>
        </w:tc>
        <w:tc>
          <w:tcPr>
            <w:tcW w:w="2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A5891" w14:textId="77777777" w:rsidR="009E57FC" w:rsidRDefault="00000000"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</w:tr>
      <w:tr w:rsidR="009E57FC" w14:paraId="30A595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87082" w14:textId="77777777" w:rsidR="009E57FC" w:rsidRDefault="00000000">
            <w:r>
              <w:rPr>
                <w:color w:val="222222"/>
                <w:sz w:val="19"/>
                <w:szCs w:val="19"/>
              </w:rPr>
              <w:t>Data Integrity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D10B23" w14:textId="77777777" w:rsidR="009E57FC" w:rsidRDefault="00000000">
            <w:r>
              <w:rPr>
                <w:color w:val="222222"/>
                <w:sz w:val="19"/>
                <w:szCs w:val="19"/>
              </w:rPr>
              <w:t>Records must be ALCOA+ compliant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50460" w14:textId="77777777" w:rsidR="009E57FC" w:rsidRDefault="00000000">
            <w:r>
              <w:rPr>
                <w:color w:val="222222"/>
                <w:sz w:val="19"/>
                <w:szCs w:val="19"/>
              </w:rPr>
              <w:t>Every record, every department</w:t>
            </w:r>
          </w:p>
        </w:tc>
      </w:tr>
      <w:tr w:rsidR="009E57FC" w14:paraId="28C023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5FFD5B" w14:textId="77777777" w:rsidR="009E57FC" w:rsidRDefault="00000000">
            <w:r>
              <w:rPr>
                <w:color w:val="222222"/>
                <w:sz w:val="19"/>
                <w:szCs w:val="19"/>
              </w:rPr>
              <w:t>Ethics</w:t>
            </w:r>
          </w:p>
        </w:tc>
        <w:tc>
          <w:tcPr>
            <w:tcW w:w="38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76D78" w14:textId="77777777" w:rsidR="009E57FC" w:rsidRDefault="00000000">
            <w:r>
              <w:rPr>
                <w:color w:val="222222"/>
                <w:sz w:val="19"/>
                <w:szCs w:val="19"/>
              </w:rPr>
              <w:t>Protect the people behind the data</w:t>
            </w:r>
          </w:p>
        </w:tc>
        <w:tc>
          <w:tcPr>
            <w:tcW w:w="2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F4D2A" w14:textId="77777777" w:rsidR="009E57FC" w:rsidRDefault="00000000">
            <w:r>
              <w:rPr>
                <w:color w:val="222222"/>
                <w:sz w:val="19"/>
                <w:szCs w:val="19"/>
              </w:rPr>
              <w:t>Clinical research &amp; human involvement</w:t>
            </w:r>
          </w:p>
        </w:tc>
      </w:tr>
      <w:tr w:rsidR="009E57FC" w14:paraId="2F84AB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B8D92" w14:textId="77777777" w:rsidR="009E57FC" w:rsidRDefault="00000000">
            <w:r>
              <w:rPr>
                <w:color w:val="222222"/>
                <w:sz w:val="19"/>
                <w:szCs w:val="19"/>
              </w:rPr>
              <w:t>Patient Safety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301BE" w14:textId="77777777" w:rsidR="009E57FC" w:rsidRDefault="00000000">
            <w:r>
              <w:rPr>
                <w:color w:val="222222"/>
                <w:sz w:val="19"/>
                <w:szCs w:val="19"/>
              </w:rPr>
              <w:t>The reason every standard exists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36987D" w14:textId="77777777" w:rsidR="009E57FC" w:rsidRDefault="00000000">
            <w:r>
              <w:rPr>
                <w:color w:val="222222"/>
                <w:sz w:val="19"/>
                <w:szCs w:val="19"/>
              </w:rPr>
              <w:t>Every lifecycle stage</w:t>
            </w:r>
          </w:p>
        </w:tc>
      </w:tr>
      <w:tr w:rsidR="009E57FC" w14:paraId="67B785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CBC82" w14:textId="77777777" w:rsidR="009E57FC" w:rsidRDefault="00000000">
            <w:r>
              <w:rPr>
                <w:color w:val="222222"/>
                <w:sz w:val="19"/>
                <w:szCs w:val="19"/>
              </w:rPr>
              <w:t>Quality Culture</w:t>
            </w:r>
          </w:p>
        </w:tc>
        <w:tc>
          <w:tcPr>
            <w:tcW w:w="38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C893A7" w14:textId="77777777" w:rsidR="009E57FC" w:rsidRDefault="00000000">
            <w:r>
              <w:rPr>
                <w:color w:val="222222"/>
                <w:sz w:val="19"/>
                <w:szCs w:val="19"/>
              </w:rPr>
              <w:t>Doing things right, not just being checked</w:t>
            </w:r>
          </w:p>
        </w:tc>
        <w:tc>
          <w:tcPr>
            <w:tcW w:w="2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551FF" w14:textId="77777777" w:rsidR="009E57FC" w:rsidRDefault="00000000">
            <w:r>
              <w:rPr>
                <w:color w:val="222222"/>
                <w:sz w:val="19"/>
                <w:szCs w:val="19"/>
              </w:rPr>
              <w:t>The whole organisation</w:t>
            </w:r>
          </w:p>
        </w:tc>
      </w:tr>
    </w:tbl>
    <w:p w14:paraId="06977483" w14:textId="77777777" w:rsidR="009E57FC" w:rsidRDefault="009E57FC">
      <w:pPr>
        <w:spacing w:after="300"/>
      </w:pPr>
    </w:p>
    <w:p w14:paraId="7B5D776A" w14:textId="77777777" w:rsidR="009E57FC" w:rsidRDefault="00000000">
      <w:pPr>
        <w:pBdr>
          <w:bottom w:val="single" w:sz="8" w:space="4" w:color="1E8A5F"/>
        </w:pBdr>
        <w:spacing w:before="200" w:after="140"/>
      </w:pPr>
      <w:r>
        <w:rPr>
          <w:b/>
          <w:bCs/>
          <w:color w:val="0F5C3C"/>
          <w:sz w:val="27"/>
          <w:szCs w:val="27"/>
        </w:rPr>
        <w:lastRenderedPageBreak/>
        <w:t>Why This Matters</w:t>
      </w:r>
    </w:p>
    <w:p w14:paraId="4BBB15B1" w14:textId="77777777" w:rsidR="009E57FC" w:rsidRDefault="00000000">
      <w:pPr>
        <w:spacing w:after="180" w:line="330" w:lineRule="auto"/>
      </w:pPr>
      <w:r>
        <w:rPr>
          <w:color w:val="222222"/>
          <w:sz w:val="22"/>
          <w:szCs w:val="22"/>
        </w:rPr>
        <w:t>Technical skills and industry knowledge get you hired, but quality and ethics are what keep an entire career — and an entire company — trustworthy. Every module before this one assumes these four ideas are already in place; without them, none of the rest holds up.</w:t>
      </w:r>
    </w:p>
    <w:p w14:paraId="633C0EA0" w14:textId="77777777" w:rsidR="009E57FC" w:rsidRDefault="00000000">
      <w:pPr>
        <w:pBdr>
          <w:left w:val="single" w:sz="16" w:space="8" w:color="1E8A5F"/>
        </w:pBdr>
        <w:shd w:val="clear" w:color="auto" w:fill="E8F5EE"/>
        <w:spacing w:before="100" w:after="180"/>
        <w:ind w:left="200"/>
      </w:pPr>
      <w:r>
        <w:rPr>
          <w:i/>
          <w:iCs/>
          <w:color w:val="0F5C3C"/>
          <w:sz w:val="19"/>
          <w:szCs w:val="19"/>
        </w:rPr>
        <w:t>Reflect: Can you think of a moment — at school, in a job, or elsewhere — where doing the honest thing was less convenient than cutting a corner? What did you choose?</w:t>
      </w:r>
    </w:p>
    <w:sectPr w:rsidR="009E57FC">
      <w:pgSz w:w="12240" w:h="15840"/>
      <w:pgMar w:top="1000" w:right="1150" w:bottom="10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5D9"/>
    <w:multiLevelType w:val="hybridMultilevel"/>
    <w:tmpl w:val="78387F06"/>
    <w:lvl w:ilvl="0" w:tplc="6D3E7958">
      <w:start w:val="1"/>
      <w:numFmt w:val="bullet"/>
      <w:lvlText w:val="•"/>
      <w:lvlJc w:val="left"/>
      <w:pPr>
        <w:ind w:left="504" w:hanging="288"/>
      </w:pPr>
    </w:lvl>
    <w:lvl w:ilvl="1" w:tplc="C8B41AC4">
      <w:numFmt w:val="decimal"/>
      <w:lvlText w:val=""/>
      <w:lvlJc w:val="left"/>
    </w:lvl>
    <w:lvl w:ilvl="2" w:tplc="50BCAF06">
      <w:numFmt w:val="decimal"/>
      <w:lvlText w:val=""/>
      <w:lvlJc w:val="left"/>
    </w:lvl>
    <w:lvl w:ilvl="3" w:tplc="052225D0">
      <w:numFmt w:val="decimal"/>
      <w:lvlText w:val=""/>
      <w:lvlJc w:val="left"/>
    </w:lvl>
    <w:lvl w:ilvl="4" w:tplc="0CC2B584">
      <w:numFmt w:val="decimal"/>
      <w:lvlText w:val=""/>
      <w:lvlJc w:val="left"/>
    </w:lvl>
    <w:lvl w:ilvl="5" w:tplc="FDFEA19C">
      <w:numFmt w:val="decimal"/>
      <w:lvlText w:val=""/>
      <w:lvlJc w:val="left"/>
    </w:lvl>
    <w:lvl w:ilvl="6" w:tplc="777C48A0">
      <w:numFmt w:val="decimal"/>
      <w:lvlText w:val=""/>
      <w:lvlJc w:val="left"/>
    </w:lvl>
    <w:lvl w:ilvl="7" w:tplc="90EE7AD4">
      <w:numFmt w:val="decimal"/>
      <w:lvlText w:val=""/>
      <w:lvlJc w:val="left"/>
    </w:lvl>
    <w:lvl w:ilvl="8" w:tplc="938E1216">
      <w:numFmt w:val="decimal"/>
      <w:lvlText w:val=""/>
      <w:lvlJc w:val="left"/>
    </w:lvl>
  </w:abstractNum>
  <w:abstractNum w:abstractNumId="1" w15:restartNumberingAfterBreak="0">
    <w:nsid w:val="463E00A5"/>
    <w:multiLevelType w:val="hybridMultilevel"/>
    <w:tmpl w:val="9664FE3E"/>
    <w:lvl w:ilvl="0" w:tplc="2C72707A">
      <w:start w:val="1"/>
      <w:numFmt w:val="bullet"/>
      <w:lvlText w:val="●"/>
      <w:lvlJc w:val="left"/>
      <w:pPr>
        <w:ind w:left="720" w:hanging="360"/>
      </w:pPr>
    </w:lvl>
    <w:lvl w:ilvl="1" w:tplc="7E90E9E6">
      <w:start w:val="1"/>
      <w:numFmt w:val="bullet"/>
      <w:lvlText w:val="○"/>
      <w:lvlJc w:val="left"/>
      <w:pPr>
        <w:ind w:left="1440" w:hanging="360"/>
      </w:pPr>
    </w:lvl>
    <w:lvl w:ilvl="2" w:tplc="D63439FC">
      <w:start w:val="1"/>
      <w:numFmt w:val="bullet"/>
      <w:lvlText w:val="■"/>
      <w:lvlJc w:val="left"/>
      <w:pPr>
        <w:ind w:left="2160" w:hanging="360"/>
      </w:pPr>
    </w:lvl>
    <w:lvl w:ilvl="3" w:tplc="E178450C">
      <w:start w:val="1"/>
      <w:numFmt w:val="bullet"/>
      <w:lvlText w:val="●"/>
      <w:lvlJc w:val="left"/>
      <w:pPr>
        <w:ind w:left="2880" w:hanging="360"/>
      </w:pPr>
    </w:lvl>
    <w:lvl w:ilvl="4" w:tplc="3F40C972">
      <w:start w:val="1"/>
      <w:numFmt w:val="bullet"/>
      <w:lvlText w:val="○"/>
      <w:lvlJc w:val="left"/>
      <w:pPr>
        <w:ind w:left="3600" w:hanging="360"/>
      </w:pPr>
    </w:lvl>
    <w:lvl w:ilvl="5" w:tplc="914ED734">
      <w:start w:val="1"/>
      <w:numFmt w:val="bullet"/>
      <w:lvlText w:val="■"/>
      <w:lvlJc w:val="left"/>
      <w:pPr>
        <w:ind w:left="4320" w:hanging="360"/>
      </w:pPr>
    </w:lvl>
    <w:lvl w:ilvl="6" w:tplc="74ECEDD4">
      <w:start w:val="1"/>
      <w:numFmt w:val="bullet"/>
      <w:lvlText w:val="●"/>
      <w:lvlJc w:val="left"/>
      <w:pPr>
        <w:ind w:left="5040" w:hanging="360"/>
      </w:pPr>
    </w:lvl>
    <w:lvl w:ilvl="7" w:tplc="A566BC2E">
      <w:start w:val="1"/>
      <w:numFmt w:val="bullet"/>
      <w:lvlText w:val="●"/>
      <w:lvlJc w:val="left"/>
      <w:pPr>
        <w:ind w:left="5760" w:hanging="360"/>
      </w:pPr>
    </w:lvl>
    <w:lvl w:ilvl="8" w:tplc="AD5634C6">
      <w:start w:val="1"/>
      <w:numFmt w:val="bullet"/>
      <w:lvlText w:val="●"/>
      <w:lvlJc w:val="left"/>
      <w:pPr>
        <w:ind w:left="6480" w:hanging="360"/>
      </w:pPr>
    </w:lvl>
  </w:abstractNum>
  <w:num w:numId="1" w16cid:durableId="1992753717">
    <w:abstractNumId w:val="1"/>
    <w:lvlOverride w:ilvl="0">
      <w:startOverride w:val="1"/>
    </w:lvlOverride>
  </w:num>
  <w:num w:numId="2" w16cid:durableId="507407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FC"/>
    <w:rsid w:val="009E57FC"/>
    <w:rsid w:val="00A26B8A"/>
    <w:rsid w:val="00B6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83B4"/>
  <w15:docId w15:val="{62B403E9-38B3-48C6-B1B7-15E9AFF5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596</Words>
  <Characters>3401</Characters>
  <Application>Microsoft Office Word</Application>
  <DocSecurity>0</DocSecurity>
  <Lines>28</Lines>
  <Paragraphs>7</Paragraphs>
  <ScaleCrop>false</ScaleCrop>
  <Company>GlaxoSmithKline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Panuganti Hanumantha Rao</cp:lastModifiedBy>
  <cp:revision>2</cp:revision>
  <dcterms:created xsi:type="dcterms:W3CDTF">2026-08-04T06:54:00Z</dcterms:created>
  <dcterms:modified xsi:type="dcterms:W3CDTF">2026-08-04T06:57:00Z</dcterms:modified>
</cp:coreProperties>
</file>