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08F34" w14:textId="77777777" w:rsidR="00D63AB1" w:rsidRDefault="00000000">
      <w:pPr>
        <w:spacing w:before="400"/>
        <w:jc w:val="center"/>
      </w:pPr>
      <w:r>
        <w:rPr>
          <w:noProof/>
        </w:rPr>
        <w:drawing>
          <wp:inline distT="0" distB="0" distL="0" distR="0" wp14:anchorId="4C918FCF" wp14:editId="3C8FEA04">
            <wp:extent cx="1047750" cy="1047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5"/>
                    <a:srcRect l="-1105" t="-33694" r="1105" b="336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1047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A27D34" w14:textId="77777777" w:rsidR="00D63AB1" w:rsidRDefault="00000000">
      <w:pPr>
        <w:spacing w:before="260" w:after="80"/>
        <w:jc w:val="center"/>
      </w:pPr>
      <w:r>
        <w:rPr>
          <w:b/>
          <w:bCs/>
          <w:color w:val="1E8A5F"/>
          <w:spacing w:val="20"/>
          <w:sz w:val="24"/>
          <w:szCs w:val="24"/>
        </w:rPr>
        <w:t>PHARMABRIDGE ACADEMY</w:t>
      </w:r>
    </w:p>
    <w:p w14:paraId="0EAA2064" w14:textId="77777777" w:rsidR="00D63AB1" w:rsidRDefault="00000000">
      <w:pPr>
        <w:spacing w:after="360"/>
        <w:jc w:val="center"/>
      </w:pPr>
      <w:r>
        <w:rPr>
          <w:i/>
          <w:iCs/>
          <w:color w:val="6B6B6B"/>
          <w:sz w:val="18"/>
          <w:szCs w:val="18"/>
        </w:rPr>
        <w:t>Bridging Pharmacy Education with Industry Excellence</w:t>
      </w:r>
    </w:p>
    <w:p w14:paraId="2FA95068" w14:textId="77777777" w:rsidR="00D63AB1" w:rsidRDefault="00000000">
      <w:pPr>
        <w:spacing w:before="200" w:after="160"/>
        <w:jc w:val="center"/>
      </w:pPr>
      <w:r>
        <w:rPr>
          <w:b/>
          <w:bCs/>
          <w:color w:val="0F5C3C"/>
          <w:sz w:val="44"/>
          <w:szCs w:val="44"/>
        </w:rPr>
        <w:t>Documentation in Pharma</w:t>
      </w:r>
    </w:p>
    <w:p w14:paraId="22EC35F8" w14:textId="7D0198B2" w:rsidR="00D63AB1" w:rsidRDefault="00000000" w:rsidP="004976D4">
      <w:pPr>
        <w:spacing w:before="120" w:after="200"/>
        <w:jc w:val="center"/>
        <w:sectPr w:rsidR="00D63AB1">
          <w:pgSz w:w="12240" w:h="15840"/>
          <w:pgMar w:top="1000" w:right="1150" w:bottom="1000" w:left="1150" w:header="708" w:footer="708" w:gutter="0"/>
          <w:cols w:space="720"/>
          <w:docGrid w:linePitch="360"/>
        </w:sectPr>
      </w:pPr>
      <w:r>
        <w:rPr>
          <w:noProof/>
        </w:rPr>
        <w:drawing>
          <wp:inline distT="0" distB="0" distL="0" distR="0" wp14:anchorId="434AD76D" wp14:editId="29374172">
            <wp:extent cx="5905500" cy="2981325"/>
            <wp:effectExtent l="0" t="0" r="0" b="0"/>
            <wp:docPr id="654259958" name="Picture 6542599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F3499" w14:textId="77777777" w:rsidR="00D63AB1" w:rsidRDefault="00000000">
      <w:pPr>
        <w:pStyle w:val="Heading1"/>
        <w:pageBreakBefore/>
        <w:pBdr>
          <w:bottom w:val="single" w:sz="8" w:space="4" w:color="1E8A5F"/>
        </w:pBdr>
        <w:spacing w:after="160"/>
      </w:pPr>
      <w:r>
        <w:rPr>
          <w:b/>
          <w:bCs/>
          <w:color w:val="0F5C3C"/>
          <w:sz w:val="30"/>
          <w:szCs w:val="30"/>
        </w:rPr>
        <w:lastRenderedPageBreak/>
        <w:t>The Big Picture</w:t>
      </w:r>
    </w:p>
    <w:p w14:paraId="3FF1B2B0" w14:textId="77777777" w:rsidR="00D63AB1" w:rsidRDefault="00000000">
      <w:pPr>
        <w:spacing w:after="180" w:line="330" w:lineRule="auto"/>
      </w:pPr>
      <w:r>
        <w:rPr>
          <w:color w:val="222222"/>
          <w:sz w:val="22"/>
          <w:szCs w:val="22"/>
        </w:rPr>
        <w:t>Pharma runs on paperwork — but not the boring kind. Every document exists to answer one question: "Can we prove this was done correctly?" Some documents apply across the whole organisation, some exist only for clinical trials, and some belong to manufacturing.</w:t>
      </w:r>
    </w:p>
    <w:p w14:paraId="3660F35D" w14:textId="77777777" w:rsidR="00D63AB1" w:rsidRDefault="00000000">
      <w:pPr>
        <w:spacing w:after="180" w:line="330" w:lineRule="auto"/>
      </w:pPr>
      <w:r>
        <w:rPr>
          <w:color w:val="222222"/>
          <w:sz w:val="22"/>
          <w:szCs w:val="22"/>
        </w:rPr>
        <w:t>This overview focuses on what each document is and why it exists — not on how to fill one out. Think of it as learning to recognise these names when they come up at work, not learning to write them yourself.</w:t>
      </w:r>
    </w:p>
    <w:p w14:paraId="40650011" w14:textId="77777777" w:rsidR="00D63AB1" w:rsidRDefault="00000000">
      <w:pPr>
        <w:spacing w:before="120" w:after="200"/>
        <w:jc w:val="center"/>
      </w:pPr>
      <w:r>
        <w:rPr>
          <w:noProof/>
        </w:rPr>
        <w:drawing>
          <wp:inline distT="0" distB="0" distL="0" distR="0" wp14:anchorId="47D68BE1" wp14:editId="0CC10BEF">
            <wp:extent cx="6096000" cy="1400175"/>
            <wp:effectExtent l="0" t="0" r="0" b="0"/>
            <wp:docPr id="1797142999" name="Picture 17971429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05860" w14:textId="77777777" w:rsidR="00D63AB1" w:rsidRDefault="00000000">
      <w:pPr>
        <w:spacing w:before="420" w:after="80"/>
      </w:pPr>
      <w:r>
        <w:rPr>
          <w:b/>
          <w:bCs/>
          <w:color w:val="1E8A5F"/>
          <w:sz w:val="29"/>
          <w:szCs w:val="29"/>
        </w:rPr>
        <w:t xml:space="preserve">1. </w:t>
      </w:r>
      <w:r>
        <w:rPr>
          <w:b/>
          <w:bCs/>
          <w:color w:val="0F5C3C"/>
          <w:sz w:val="29"/>
          <w:szCs w:val="29"/>
        </w:rPr>
        <w:t>SOP</w:t>
      </w:r>
      <w:r>
        <w:rPr>
          <w:b/>
          <w:bCs/>
          <w:color w:val="0F5C3C"/>
        </w:rPr>
        <w:t xml:space="preserve"> — Standard Operating Procedure</w:t>
      </w:r>
    </w:p>
    <w:p w14:paraId="570B50A9" w14:textId="77777777" w:rsidR="00D63AB1" w:rsidRDefault="00000000">
      <w:pPr>
        <w:spacing w:after="160"/>
      </w:pPr>
      <w:r>
        <w:rPr>
          <w:i/>
          <w:iCs/>
          <w:color w:val="6B6B6B"/>
        </w:rPr>
        <w:t>Used mainly in: Every department, organisation-wide</w:t>
      </w:r>
    </w:p>
    <w:p w14:paraId="682251E9" w14:textId="77777777" w:rsidR="00D63AB1" w:rsidRDefault="00000000">
      <w:pPr>
        <w:spacing w:after="180" w:line="330" w:lineRule="auto"/>
      </w:pPr>
      <w:r>
        <w:rPr>
          <w:color w:val="222222"/>
          <w:sz w:val="22"/>
          <w:szCs w:val="22"/>
        </w:rPr>
        <w:t>An SOP is a written, approved set of step-by-step instructions for how a specific task should be done, every single time, by anyone doing it. It exists so that work doesn't depend on one person's memory or habits.</w:t>
      </w:r>
    </w:p>
    <w:p w14:paraId="07AD54C7" w14:textId="77777777" w:rsidR="00D63AB1" w:rsidRDefault="00000000">
      <w:pPr>
        <w:pStyle w:val="ListParagraph"/>
        <w:numPr>
          <w:ilvl w:val="0"/>
          <w:numId w:val="2"/>
        </w:numPr>
        <w:spacing w:after="110" w:line="310" w:lineRule="auto"/>
      </w:pPr>
      <w:r>
        <w:rPr>
          <w:color w:val="222222"/>
          <w:sz w:val="22"/>
          <w:szCs w:val="22"/>
        </w:rPr>
        <w:t>Covers everyday tasks — from cleaning equipment to reviewing documents to handling a customer complaint.</w:t>
      </w:r>
    </w:p>
    <w:p w14:paraId="1F9A16CF" w14:textId="77777777" w:rsidR="00D63AB1" w:rsidRDefault="00000000">
      <w:pPr>
        <w:pStyle w:val="ListParagraph"/>
        <w:numPr>
          <w:ilvl w:val="0"/>
          <w:numId w:val="2"/>
        </w:numPr>
        <w:spacing w:after="110" w:line="310" w:lineRule="auto"/>
      </w:pPr>
      <w:r>
        <w:rPr>
          <w:color w:val="222222"/>
          <w:sz w:val="22"/>
          <w:szCs w:val="22"/>
        </w:rPr>
        <w:t>Anyone performing that task is expected to follow the SOP exactly, not improvise.</w:t>
      </w:r>
    </w:p>
    <w:p w14:paraId="7569C5BC" w14:textId="77777777" w:rsidR="00D63AB1" w:rsidRDefault="00000000">
      <w:pPr>
        <w:pStyle w:val="ListParagraph"/>
        <w:numPr>
          <w:ilvl w:val="0"/>
          <w:numId w:val="2"/>
        </w:numPr>
        <w:spacing w:after="110" w:line="310" w:lineRule="auto"/>
      </w:pPr>
      <w:r>
        <w:rPr>
          <w:color w:val="222222"/>
          <w:sz w:val="22"/>
          <w:szCs w:val="22"/>
        </w:rPr>
        <w:t>Used across every department — it's the most universal document type in pharma.</w:t>
      </w:r>
    </w:p>
    <w:p w14:paraId="75D3A286" w14:textId="77777777" w:rsidR="00D63AB1" w:rsidRDefault="00000000">
      <w:pPr>
        <w:spacing w:before="420" w:after="80"/>
      </w:pPr>
      <w:r>
        <w:rPr>
          <w:b/>
          <w:bCs/>
          <w:color w:val="1E8A5F"/>
          <w:sz w:val="29"/>
          <w:szCs w:val="29"/>
        </w:rPr>
        <w:t xml:space="preserve">2. </w:t>
      </w:r>
      <w:r>
        <w:rPr>
          <w:b/>
          <w:bCs/>
          <w:color w:val="0F5C3C"/>
          <w:sz w:val="29"/>
          <w:szCs w:val="29"/>
        </w:rPr>
        <w:t>Protocol</w:t>
      </w:r>
      <w:r>
        <w:rPr>
          <w:b/>
          <w:bCs/>
          <w:color w:val="0F5C3C"/>
        </w:rPr>
        <w:t xml:space="preserve"> — Clinical Trial Protocol</w:t>
      </w:r>
    </w:p>
    <w:p w14:paraId="530ED7CE" w14:textId="77777777" w:rsidR="00D63AB1" w:rsidRDefault="00000000">
      <w:pPr>
        <w:spacing w:after="160"/>
      </w:pPr>
      <w:r>
        <w:rPr>
          <w:i/>
          <w:iCs/>
          <w:color w:val="6B6B6B"/>
        </w:rPr>
        <w:t>Used mainly in: Clinical Research</w:t>
      </w:r>
    </w:p>
    <w:p w14:paraId="7B79CDAD" w14:textId="77777777" w:rsidR="00D63AB1" w:rsidRDefault="00000000">
      <w:pPr>
        <w:spacing w:after="180" w:line="330" w:lineRule="auto"/>
      </w:pPr>
      <w:r>
        <w:rPr>
          <w:color w:val="222222"/>
          <w:sz w:val="22"/>
          <w:szCs w:val="22"/>
        </w:rPr>
        <w:t>A protocol is the detailed plan for a clinical trial, written before the trial begins. It explains what the trial is testing, who can participate, what will be measured, and exactly how the study will be run.</w:t>
      </w:r>
    </w:p>
    <w:p w14:paraId="0AD46FDF" w14:textId="77777777" w:rsidR="00D63AB1" w:rsidRDefault="00000000">
      <w:pPr>
        <w:pStyle w:val="ListParagraph"/>
        <w:numPr>
          <w:ilvl w:val="0"/>
          <w:numId w:val="2"/>
        </w:numPr>
        <w:spacing w:after="110" w:line="310" w:lineRule="auto"/>
      </w:pPr>
      <w:r>
        <w:rPr>
          <w:color w:val="222222"/>
          <w:sz w:val="22"/>
          <w:szCs w:val="22"/>
        </w:rPr>
        <w:t>Written and finalized before a single patient is enrolled.</w:t>
      </w:r>
    </w:p>
    <w:p w14:paraId="12D4619B" w14:textId="77777777" w:rsidR="00D63AB1" w:rsidRDefault="00000000">
      <w:pPr>
        <w:pStyle w:val="ListParagraph"/>
        <w:numPr>
          <w:ilvl w:val="0"/>
          <w:numId w:val="2"/>
        </w:numPr>
        <w:spacing w:after="110" w:line="310" w:lineRule="auto"/>
      </w:pPr>
      <w:r>
        <w:rPr>
          <w:color w:val="222222"/>
          <w:sz w:val="22"/>
          <w:szCs w:val="22"/>
        </w:rPr>
        <w:t>Defines eligibility criteria — who can and can't join the trial.</w:t>
      </w:r>
    </w:p>
    <w:p w14:paraId="78B1357F" w14:textId="77777777" w:rsidR="00D63AB1" w:rsidRDefault="00000000">
      <w:pPr>
        <w:pStyle w:val="ListParagraph"/>
        <w:numPr>
          <w:ilvl w:val="0"/>
          <w:numId w:val="2"/>
        </w:numPr>
        <w:spacing w:after="110" w:line="310" w:lineRule="auto"/>
      </w:pPr>
      <w:r>
        <w:rPr>
          <w:color w:val="222222"/>
          <w:sz w:val="22"/>
          <w:szCs w:val="22"/>
        </w:rPr>
        <w:t>Every trial site must follow the same protocol, so results can be compared fairly.</w:t>
      </w:r>
    </w:p>
    <w:p w14:paraId="415E4033" w14:textId="77777777" w:rsidR="00D63AB1" w:rsidRDefault="00000000">
      <w:pPr>
        <w:spacing w:before="420" w:after="80"/>
      </w:pPr>
      <w:r>
        <w:rPr>
          <w:b/>
          <w:bCs/>
          <w:color w:val="1E8A5F"/>
          <w:sz w:val="29"/>
          <w:szCs w:val="29"/>
        </w:rPr>
        <w:t xml:space="preserve">3. </w:t>
      </w:r>
      <w:r>
        <w:rPr>
          <w:b/>
          <w:bCs/>
          <w:color w:val="0F5C3C"/>
          <w:sz w:val="29"/>
          <w:szCs w:val="29"/>
        </w:rPr>
        <w:t>CRF</w:t>
      </w:r>
      <w:r>
        <w:rPr>
          <w:b/>
          <w:bCs/>
          <w:color w:val="0F5C3C"/>
        </w:rPr>
        <w:t xml:space="preserve"> — Case Report Form</w:t>
      </w:r>
    </w:p>
    <w:p w14:paraId="57D1B021" w14:textId="77777777" w:rsidR="00D63AB1" w:rsidRDefault="00000000">
      <w:pPr>
        <w:spacing w:after="160"/>
      </w:pPr>
      <w:r>
        <w:rPr>
          <w:i/>
          <w:iCs/>
          <w:color w:val="6B6B6B"/>
        </w:rPr>
        <w:t>Used mainly in: Clinical Research / Data Management</w:t>
      </w:r>
    </w:p>
    <w:p w14:paraId="225EC665" w14:textId="77777777" w:rsidR="00D63AB1" w:rsidRDefault="00000000">
      <w:pPr>
        <w:spacing w:after="180" w:line="330" w:lineRule="auto"/>
      </w:pPr>
      <w:r>
        <w:rPr>
          <w:color w:val="222222"/>
          <w:sz w:val="22"/>
          <w:szCs w:val="22"/>
        </w:rPr>
        <w:lastRenderedPageBreak/>
        <w:t>A CRF is the form used to record each participant's data during a clinical trial — things like vital signs, symptoms, and test results — in a structured, consistent way.</w:t>
      </w:r>
    </w:p>
    <w:p w14:paraId="28EDD374" w14:textId="77777777" w:rsidR="00D63AB1" w:rsidRDefault="00000000">
      <w:pPr>
        <w:pStyle w:val="ListParagraph"/>
        <w:numPr>
          <w:ilvl w:val="0"/>
          <w:numId w:val="2"/>
        </w:numPr>
        <w:spacing w:after="110" w:line="310" w:lineRule="auto"/>
      </w:pPr>
      <w:r>
        <w:rPr>
          <w:color w:val="222222"/>
          <w:sz w:val="22"/>
          <w:szCs w:val="22"/>
        </w:rPr>
        <w:t>One CRF is completed for each patient at each visit or timepoint in the trial.</w:t>
      </w:r>
    </w:p>
    <w:p w14:paraId="46D5DCE9" w14:textId="77777777" w:rsidR="00D63AB1" w:rsidRDefault="00000000">
      <w:pPr>
        <w:pStyle w:val="ListParagraph"/>
        <w:numPr>
          <w:ilvl w:val="0"/>
          <w:numId w:val="2"/>
        </w:numPr>
        <w:spacing w:after="110" w:line="310" w:lineRule="auto"/>
      </w:pPr>
      <w:r>
        <w:rPr>
          <w:color w:val="222222"/>
          <w:sz w:val="22"/>
          <w:szCs w:val="22"/>
        </w:rPr>
        <w:t>Can be paper-based or, more commonly today, electronic (eCRF).</w:t>
      </w:r>
    </w:p>
    <w:p w14:paraId="1588B355" w14:textId="77777777" w:rsidR="00D63AB1" w:rsidRDefault="00000000">
      <w:pPr>
        <w:pStyle w:val="ListParagraph"/>
        <w:numPr>
          <w:ilvl w:val="0"/>
          <w:numId w:val="2"/>
        </w:numPr>
        <w:spacing w:after="110" w:line="310" w:lineRule="auto"/>
      </w:pPr>
      <w:r>
        <w:rPr>
          <w:color w:val="222222"/>
          <w:sz w:val="22"/>
          <w:szCs w:val="22"/>
        </w:rPr>
        <w:t>The data entered here is what eventually feeds into the trial's results and analysis.</w:t>
      </w:r>
    </w:p>
    <w:p w14:paraId="385491CE" w14:textId="77777777" w:rsidR="00D63AB1" w:rsidRDefault="00000000">
      <w:pPr>
        <w:spacing w:before="420" w:after="80"/>
      </w:pPr>
      <w:r>
        <w:rPr>
          <w:b/>
          <w:bCs/>
          <w:color w:val="1E8A5F"/>
          <w:sz w:val="29"/>
          <w:szCs w:val="29"/>
        </w:rPr>
        <w:t xml:space="preserve">4. </w:t>
      </w:r>
      <w:r>
        <w:rPr>
          <w:b/>
          <w:bCs/>
          <w:color w:val="0F5C3C"/>
          <w:sz w:val="29"/>
          <w:szCs w:val="29"/>
        </w:rPr>
        <w:t>Batch Records</w:t>
      </w:r>
    </w:p>
    <w:p w14:paraId="1F6A6215" w14:textId="77777777" w:rsidR="00D63AB1" w:rsidRDefault="00000000">
      <w:pPr>
        <w:spacing w:after="160"/>
      </w:pPr>
      <w:r>
        <w:rPr>
          <w:i/>
          <w:iCs/>
          <w:color w:val="6B6B6B"/>
        </w:rPr>
        <w:t>Used mainly in: Manufacturing / Production</w:t>
      </w:r>
    </w:p>
    <w:p w14:paraId="4F4175BA" w14:textId="77777777" w:rsidR="00D63AB1" w:rsidRDefault="00000000">
      <w:pPr>
        <w:spacing w:after="180" w:line="330" w:lineRule="auto"/>
      </w:pPr>
      <w:r>
        <w:rPr>
          <w:color w:val="222222"/>
          <w:sz w:val="22"/>
          <w:szCs w:val="22"/>
        </w:rPr>
        <w:t>A batch record is the complete documented history of how one specific batch of medicine was manufactured — every ingredient used, every step performed, every check completed, by whom, and when.</w:t>
      </w:r>
    </w:p>
    <w:p w14:paraId="1D4E3FF5" w14:textId="77777777" w:rsidR="00D63AB1" w:rsidRDefault="00000000">
      <w:pPr>
        <w:pStyle w:val="ListParagraph"/>
        <w:numPr>
          <w:ilvl w:val="0"/>
          <w:numId w:val="2"/>
        </w:numPr>
        <w:spacing w:after="110" w:line="310" w:lineRule="auto"/>
      </w:pPr>
      <w:r>
        <w:rPr>
          <w:color w:val="222222"/>
          <w:sz w:val="22"/>
          <w:szCs w:val="22"/>
        </w:rPr>
        <w:t>Created fresh for every single batch produced — never reused.</w:t>
      </w:r>
    </w:p>
    <w:p w14:paraId="5DF8563F" w14:textId="77777777" w:rsidR="00D63AB1" w:rsidRDefault="00000000">
      <w:pPr>
        <w:pStyle w:val="ListParagraph"/>
        <w:numPr>
          <w:ilvl w:val="0"/>
          <w:numId w:val="2"/>
        </w:numPr>
        <w:spacing w:after="110" w:line="310" w:lineRule="auto"/>
      </w:pPr>
      <w:r>
        <w:rPr>
          <w:color w:val="222222"/>
          <w:sz w:val="22"/>
          <w:szCs w:val="22"/>
        </w:rPr>
        <w:t>Acts as proof that the batch was made correctly and consistently with approved procedures.</w:t>
      </w:r>
    </w:p>
    <w:p w14:paraId="1B118A3A" w14:textId="77777777" w:rsidR="00D63AB1" w:rsidRDefault="00000000">
      <w:pPr>
        <w:pStyle w:val="ListParagraph"/>
        <w:numPr>
          <w:ilvl w:val="0"/>
          <w:numId w:val="2"/>
        </w:numPr>
        <w:spacing w:after="110" w:line="310" w:lineRule="auto"/>
      </w:pPr>
      <w:r>
        <w:rPr>
          <w:color w:val="222222"/>
          <w:sz w:val="22"/>
          <w:szCs w:val="22"/>
        </w:rPr>
        <w:t>If a quality issue is ever found, the batch record is the first place investigators look.</w:t>
      </w:r>
    </w:p>
    <w:p w14:paraId="0AF096A9" w14:textId="77777777" w:rsidR="00D63AB1" w:rsidRDefault="00000000">
      <w:pPr>
        <w:spacing w:before="420" w:after="80"/>
      </w:pPr>
      <w:r>
        <w:rPr>
          <w:b/>
          <w:bCs/>
          <w:color w:val="1E8A5F"/>
          <w:sz w:val="29"/>
          <w:szCs w:val="29"/>
        </w:rPr>
        <w:t xml:space="preserve">5. </w:t>
      </w:r>
      <w:r>
        <w:rPr>
          <w:b/>
          <w:bCs/>
          <w:color w:val="0F5C3C"/>
          <w:sz w:val="29"/>
          <w:szCs w:val="29"/>
        </w:rPr>
        <w:t>TMF</w:t>
      </w:r>
      <w:r>
        <w:rPr>
          <w:b/>
          <w:bCs/>
          <w:color w:val="0F5C3C"/>
        </w:rPr>
        <w:t xml:space="preserve"> — Trial Master File</w:t>
      </w:r>
    </w:p>
    <w:p w14:paraId="4AD07EBA" w14:textId="77777777" w:rsidR="00D63AB1" w:rsidRDefault="00000000">
      <w:pPr>
        <w:spacing w:after="160"/>
      </w:pPr>
      <w:r>
        <w:rPr>
          <w:i/>
          <w:iCs/>
          <w:color w:val="6B6B6B"/>
        </w:rPr>
        <w:t>Used mainly in: Clinical Research / Clinical Operations</w:t>
      </w:r>
    </w:p>
    <w:p w14:paraId="3B9A7B4A" w14:textId="77777777" w:rsidR="00D63AB1" w:rsidRDefault="00000000">
      <w:pPr>
        <w:spacing w:after="180" w:line="330" w:lineRule="auto"/>
      </w:pPr>
      <w:r>
        <w:rPr>
          <w:color w:val="222222"/>
          <w:sz w:val="22"/>
          <w:szCs w:val="22"/>
        </w:rPr>
        <w:t>The TMF is the master collection of all essential documents relating to a clinical trial — protocols, approvals, CRFs, correspondence, and more — organized so the trial's conduct can be fully reconstructed later if needed.</w:t>
      </w:r>
    </w:p>
    <w:p w14:paraId="307897EE" w14:textId="77777777" w:rsidR="00D63AB1" w:rsidRDefault="00000000">
      <w:pPr>
        <w:pStyle w:val="ListParagraph"/>
        <w:numPr>
          <w:ilvl w:val="0"/>
          <w:numId w:val="2"/>
        </w:numPr>
        <w:spacing w:after="110" w:line="310" w:lineRule="auto"/>
      </w:pPr>
      <w:r>
        <w:rPr>
          <w:color w:val="222222"/>
          <w:sz w:val="22"/>
          <w:szCs w:val="22"/>
        </w:rPr>
        <w:t>Built up continuously throughout the trial, not just at the end.</w:t>
      </w:r>
    </w:p>
    <w:p w14:paraId="1D695B55" w14:textId="77777777" w:rsidR="00D63AB1" w:rsidRDefault="00000000">
      <w:pPr>
        <w:pStyle w:val="ListParagraph"/>
        <w:numPr>
          <w:ilvl w:val="0"/>
          <w:numId w:val="2"/>
        </w:numPr>
        <w:spacing w:after="110" w:line="310" w:lineRule="auto"/>
      </w:pPr>
      <w:r>
        <w:rPr>
          <w:color w:val="222222"/>
          <w:sz w:val="22"/>
          <w:szCs w:val="22"/>
        </w:rPr>
        <w:t>Regulators can inspect the TMF to confirm a trial was run properly and ethically.</w:t>
      </w:r>
    </w:p>
    <w:p w14:paraId="6DE1857F" w14:textId="77777777" w:rsidR="00D63AB1" w:rsidRDefault="00000000">
      <w:pPr>
        <w:pStyle w:val="ListParagraph"/>
        <w:numPr>
          <w:ilvl w:val="0"/>
          <w:numId w:val="2"/>
        </w:numPr>
        <w:spacing w:after="110" w:line="310" w:lineRule="auto"/>
      </w:pPr>
      <w:r>
        <w:rPr>
          <w:color w:val="222222"/>
          <w:sz w:val="22"/>
          <w:szCs w:val="22"/>
        </w:rPr>
        <w:t>Think of it as the trial's complete paper trail, kept in one organized place.</w:t>
      </w:r>
    </w:p>
    <w:p w14:paraId="7FCB4D1F" w14:textId="77777777" w:rsidR="00D63AB1" w:rsidRDefault="00000000">
      <w:pPr>
        <w:spacing w:before="420" w:after="80"/>
      </w:pPr>
      <w:r>
        <w:rPr>
          <w:b/>
          <w:bCs/>
          <w:color w:val="1E8A5F"/>
          <w:sz w:val="29"/>
          <w:szCs w:val="29"/>
        </w:rPr>
        <w:t xml:space="preserve">6. </w:t>
      </w:r>
      <w:r>
        <w:rPr>
          <w:b/>
          <w:bCs/>
          <w:color w:val="0F5C3C"/>
          <w:sz w:val="29"/>
          <w:szCs w:val="29"/>
        </w:rPr>
        <w:t>CSR</w:t>
      </w:r>
      <w:r>
        <w:rPr>
          <w:b/>
          <w:bCs/>
          <w:color w:val="0F5C3C"/>
        </w:rPr>
        <w:t xml:space="preserve"> — Clinical Study Report</w:t>
      </w:r>
    </w:p>
    <w:p w14:paraId="355AA55C" w14:textId="77777777" w:rsidR="00D63AB1" w:rsidRDefault="00000000">
      <w:pPr>
        <w:spacing w:after="160"/>
      </w:pPr>
      <w:r>
        <w:rPr>
          <w:i/>
          <w:iCs/>
          <w:color w:val="6B6B6B"/>
        </w:rPr>
        <w:t>Used mainly in: Clinical Research / Medical Writing</w:t>
      </w:r>
    </w:p>
    <w:p w14:paraId="71868114" w14:textId="77777777" w:rsidR="00D63AB1" w:rsidRDefault="00000000">
      <w:pPr>
        <w:spacing w:after="180" w:line="330" w:lineRule="auto"/>
      </w:pPr>
      <w:r>
        <w:rPr>
          <w:color w:val="222222"/>
          <w:sz w:val="22"/>
          <w:szCs w:val="22"/>
        </w:rPr>
        <w:t>A CSR is the formal, comprehensive report written after a clinical trial ends, summarizing everything about how it was conducted and what was found — including both the results and any side effects observed.</w:t>
      </w:r>
    </w:p>
    <w:p w14:paraId="5012C11E" w14:textId="77777777" w:rsidR="00D63AB1" w:rsidRDefault="00000000">
      <w:pPr>
        <w:pStyle w:val="ListParagraph"/>
        <w:numPr>
          <w:ilvl w:val="0"/>
          <w:numId w:val="2"/>
        </w:numPr>
        <w:spacing w:after="110" w:line="310" w:lineRule="auto"/>
      </w:pPr>
      <w:r>
        <w:rPr>
          <w:color w:val="222222"/>
          <w:sz w:val="22"/>
          <w:szCs w:val="22"/>
        </w:rPr>
        <w:t xml:space="preserve">Written once the trial is complete and the data has been </w:t>
      </w:r>
      <w:proofErr w:type="spellStart"/>
      <w:r>
        <w:rPr>
          <w:color w:val="222222"/>
          <w:sz w:val="22"/>
          <w:szCs w:val="22"/>
        </w:rPr>
        <w:t>analyzed</w:t>
      </w:r>
      <w:proofErr w:type="spellEnd"/>
      <w:r>
        <w:rPr>
          <w:color w:val="222222"/>
          <w:sz w:val="22"/>
          <w:szCs w:val="22"/>
        </w:rPr>
        <w:t>.</w:t>
      </w:r>
    </w:p>
    <w:p w14:paraId="7A87889E" w14:textId="77777777" w:rsidR="00D63AB1" w:rsidRDefault="00000000">
      <w:pPr>
        <w:pStyle w:val="ListParagraph"/>
        <w:numPr>
          <w:ilvl w:val="0"/>
          <w:numId w:val="2"/>
        </w:numPr>
        <w:spacing w:after="110" w:line="310" w:lineRule="auto"/>
      </w:pPr>
      <w:r>
        <w:rPr>
          <w:color w:val="222222"/>
          <w:sz w:val="22"/>
          <w:szCs w:val="22"/>
        </w:rPr>
        <w:t>Forms a core part of what gets submitted to regulators for drug approval.</w:t>
      </w:r>
    </w:p>
    <w:p w14:paraId="3C9104BE" w14:textId="77777777" w:rsidR="00D63AB1" w:rsidRDefault="00000000">
      <w:pPr>
        <w:pStyle w:val="ListParagraph"/>
        <w:numPr>
          <w:ilvl w:val="0"/>
          <w:numId w:val="2"/>
        </w:numPr>
        <w:spacing w:after="110" w:line="310" w:lineRule="auto"/>
      </w:pPr>
      <w:r>
        <w:rPr>
          <w:color w:val="222222"/>
          <w:sz w:val="22"/>
          <w:szCs w:val="22"/>
        </w:rPr>
        <w:t>Can run to hundreds of pages, covering methodology, results, and safety findings in detail.</w:t>
      </w:r>
    </w:p>
    <w:p w14:paraId="226FC3DE" w14:textId="77777777" w:rsidR="00D63AB1" w:rsidRDefault="00000000">
      <w:pPr>
        <w:spacing w:before="420" w:after="80"/>
      </w:pPr>
      <w:r>
        <w:rPr>
          <w:b/>
          <w:bCs/>
          <w:color w:val="1E8A5F"/>
          <w:sz w:val="29"/>
          <w:szCs w:val="29"/>
        </w:rPr>
        <w:t xml:space="preserve">7. </w:t>
      </w:r>
      <w:r>
        <w:rPr>
          <w:b/>
          <w:bCs/>
          <w:color w:val="0F5C3C"/>
          <w:sz w:val="29"/>
          <w:szCs w:val="29"/>
        </w:rPr>
        <w:t>Define.xml</w:t>
      </w:r>
      <w:r>
        <w:rPr>
          <w:b/>
          <w:bCs/>
          <w:color w:val="0F5C3C"/>
        </w:rPr>
        <w:t xml:space="preserve"> — (Awareness Only)</w:t>
      </w:r>
    </w:p>
    <w:p w14:paraId="34B9E322" w14:textId="77777777" w:rsidR="00D63AB1" w:rsidRDefault="00000000">
      <w:pPr>
        <w:spacing w:after="160"/>
      </w:pPr>
      <w:r>
        <w:rPr>
          <w:i/>
          <w:iCs/>
          <w:color w:val="6B6B6B"/>
        </w:rPr>
        <w:t>Used mainly in: Clinical Data Management / Biostatistics</w:t>
      </w:r>
    </w:p>
    <w:p w14:paraId="5A4B4DC4" w14:textId="77777777" w:rsidR="00D63AB1" w:rsidRDefault="00000000">
      <w:pPr>
        <w:spacing w:after="180" w:line="330" w:lineRule="auto"/>
      </w:pPr>
      <w:r>
        <w:rPr>
          <w:color w:val="222222"/>
          <w:sz w:val="22"/>
          <w:szCs w:val="22"/>
        </w:rPr>
        <w:lastRenderedPageBreak/>
        <w:t>Define.xml is a standardized file format that describes the structure of clinical trial datasets when they're submitted to regulators. You don't need to know how to build one — just that it exists as part of how trial data gets submitted electronically.</w:t>
      </w:r>
    </w:p>
    <w:p w14:paraId="15F33DCF" w14:textId="77777777" w:rsidR="00D63AB1" w:rsidRDefault="00000000">
      <w:pPr>
        <w:pStyle w:val="ListParagraph"/>
        <w:numPr>
          <w:ilvl w:val="0"/>
          <w:numId w:val="2"/>
        </w:numPr>
        <w:spacing w:after="110" w:line="310" w:lineRule="auto"/>
      </w:pPr>
      <w:r>
        <w:rPr>
          <w:color w:val="222222"/>
          <w:sz w:val="22"/>
          <w:szCs w:val="22"/>
        </w:rPr>
        <w:t>Acts like a "map" explaining what each column in a dataset means.</w:t>
      </w:r>
    </w:p>
    <w:p w14:paraId="2F96ED5D" w14:textId="77777777" w:rsidR="00D63AB1" w:rsidRDefault="00000000">
      <w:pPr>
        <w:pStyle w:val="ListParagraph"/>
        <w:numPr>
          <w:ilvl w:val="0"/>
          <w:numId w:val="2"/>
        </w:numPr>
        <w:spacing w:after="110" w:line="310" w:lineRule="auto"/>
      </w:pPr>
      <w:r>
        <w:rPr>
          <w:color w:val="222222"/>
          <w:sz w:val="22"/>
          <w:szCs w:val="22"/>
        </w:rPr>
        <w:t>Used specifically for electronic data submissions to regulatory authorities.</w:t>
      </w:r>
    </w:p>
    <w:p w14:paraId="4C1CE758" w14:textId="77777777" w:rsidR="00D63AB1" w:rsidRDefault="00000000">
      <w:pPr>
        <w:pStyle w:val="ListParagraph"/>
        <w:numPr>
          <w:ilvl w:val="0"/>
          <w:numId w:val="2"/>
        </w:numPr>
        <w:spacing w:after="110" w:line="310" w:lineRule="auto"/>
      </w:pPr>
      <w:r>
        <w:rPr>
          <w:color w:val="222222"/>
          <w:sz w:val="22"/>
          <w:szCs w:val="22"/>
        </w:rPr>
        <w:t>Awareness-level only for this module — highly specialized, technical roles handle its creation.</w:t>
      </w:r>
    </w:p>
    <w:p w14:paraId="0BE3FDA7" w14:textId="77777777" w:rsidR="00D63AB1" w:rsidRDefault="00000000">
      <w:pPr>
        <w:pBdr>
          <w:bottom w:val="single" w:sz="8" w:space="4" w:color="1E8A5F"/>
        </w:pBdr>
        <w:spacing w:before="300" w:after="140"/>
      </w:pPr>
      <w:r>
        <w:rPr>
          <w:b/>
          <w:bCs/>
          <w:color w:val="0F5C3C"/>
          <w:sz w:val="27"/>
          <w:szCs w:val="27"/>
        </w:rPr>
        <w:t>Quick Reference: All Seven Documents</w:t>
      </w: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3800"/>
        <w:gridCol w:w="3100"/>
      </w:tblGrid>
      <w:tr w:rsidR="00D63AB1" w14:paraId="0471BA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0F5C3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486AB9C" w14:textId="77777777" w:rsidR="00D63AB1" w:rsidRDefault="00000000">
            <w:r>
              <w:rPr>
                <w:b/>
                <w:bCs/>
                <w:color w:val="FFFFFF"/>
                <w:sz w:val="19"/>
                <w:szCs w:val="19"/>
              </w:rPr>
              <w:t>Document</w:t>
            </w:r>
          </w:p>
        </w:tc>
        <w:tc>
          <w:tcPr>
            <w:tcW w:w="3800" w:type="dxa"/>
            <w:shd w:val="clear" w:color="auto" w:fill="0F5C3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D72657F" w14:textId="77777777" w:rsidR="00D63AB1" w:rsidRDefault="00000000">
            <w:r>
              <w:rPr>
                <w:b/>
                <w:bCs/>
                <w:color w:val="FFFFFF"/>
                <w:sz w:val="19"/>
                <w:szCs w:val="19"/>
              </w:rPr>
              <w:t>What It Is</w:t>
            </w:r>
          </w:p>
        </w:tc>
        <w:tc>
          <w:tcPr>
            <w:tcW w:w="3100" w:type="dxa"/>
            <w:shd w:val="clear" w:color="auto" w:fill="0F5C3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8ACB392" w14:textId="77777777" w:rsidR="00D63AB1" w:rsidRDefault="00000000">
            <w:r>
              <w:rPr>
                <w:b/>
                <w:bCs/>
                <w:color w:val="FFFFFF"/>
                <w:sz w:val="19"/>
                <w:szCs w:val="19"/>
              </w:rPr>
              <w:t>Used In</w:t>
            </w:r>
          </w:p>
        </w:tc>
      </w:tr>
      <w:tr w:rsidR="00D63AB1" w14:paraId="3400FD7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A083358" w14:textId="77777777" w:rsidR="00D63AB1" w:rsidRDefault="00000000">
            <w:r>
              <w:rPr>
                <w:color w:val="222222"/>
                <w:sz w:val="19"/>
                <w:szCs w:val="19"/>
              </w:rPr>
              <w:t>SOP</w:t>
            </w:r>
          </w:p>
        </w:tc>
        <w:tc>
          <w:tcPr>
            <w:tcW w:w="38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7A68678" w14:textId="77777777" w:rsidR="00D63AB1" w:rsidRDefault="00000000">
            <w:r>
              <w:rPr>
                <w:color w:val="222222"/>
                <w:sz w:val="19"/>
                <w:szCs w:val="19"/>
              </w:rPr>
              <w:t>Step-by-step instructions for a task</w:t>
            </w:r>
          </w:p>
        </w:tc>
        <w:tc>
          <w:tcPr>
            <w:tcW w:w="31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A8178B7" w14:textId="77777777" w:rsidR="00D63AB1" w:rsidRDefault="00000000">
            <w:r>
              <w:rPr>
                <w:color w:val="222222"/>
                <w:sz w:val="19"/>
                <w:szCs w:val="19"/>
              </w:rPr>
              <w:t>Every department</w:t>
            </w:r>
          </w:p>
        </w:tc>
      </w:tr>
      <w:tr w:rsidR="00D63AB1" w14:paraId="571AC72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5FA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5098BAA" w14:textId="77777777" w:rsidR="00D63AB1" w:rsidRDefault="00000000">
            <w:r>
              <w:rPr>
                <w:color w:val="222222"/>
                <w:sz w:val="19"/>
                <w:szCs w:val="19"/>
              </w:rPr>
              <w:t>Protocol</w:t>
            </w:r>
          </w:p>
        </w:tc>
        <w:tc>
          <w:tcPr>
            <w:tcW w:w="3800" w:type="dxa"/>
            <w:shd w:val="clear" w:color="auto" w:fill="F5FA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A3FB7C5" w14:textId="77777777" w:rsidR="00D63AB1" w:rsidRDefault="00000000">
            <w:r>
              <w:rPr>
                <w:color w:val="222222"/>
                <w:sz w:val="19"/>
                <w:szCs w:val="19"/>
              </w:rPr>
              <w:t>The plan for a clinical trial</w:t>
            </w:r>
          </w:p>
        </w:tc>
        <w:tc>
          <w:tcPr>
            <w:tcW w:w="3100" w:type="dxa"/>
            <w:shd w:val="clear" w:color="auto" w:fill="F5FA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979F78D" w14:textId="77777777" w:rsidR="00D63AB1" w:rsidRDefault="00000000">
            <w:r>
              <w:rPr>
                <w:color w:val="222222"/>
                <w:sz w:val="19"/>
                <w:szCs w:val="19"/>
              </w:rPr>
              <w:t>Clinical trials (before start)</w:t>
            </w:r>
          </w:p>
        </w:tc>
      </w:tr>
      <w:tr w:rsidR="00D63AB1" w14:paraId="30EF821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956B813" w14:textId="77777777" w:rsidR="00D63AB1" w:rsidRDefault="00000000">
            <w:r>
              <w:rPr>
                <w:color w:val="222222"/>
                <w:sz w:val="19"/>
                <w:szCs w:val="19"/>
              </w:rPr>
              <w:t>CRF</w:t>
            </w:r>
          </w:p>
        </w:tc>
        <w:tc>
          <w:tcPr>
            <w:tcW w:w="38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EE07E61" w14:textId="77777777" w:rsidR="00D63AB1" w:rsidRDefault="00000000">
            <w:r>
              <w:rPr>
                <w:color w:val="222222"/>
                <w:sz w:val="19"/>
                <w:szCs w:val="19"/>
              </w:rPr>
              <w:t>Per-patient data collection form</w:t>
            </w:r>
          </w:p>
        </w:tc>
        <w:tc>
          <w:tcPr>
            <w:tcW w:w="31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55D2209" w14:textId="77777777" w:rsidR="00D63AB1" w:rsidRDefault="00000000">
            <w:r>
              <w:rPr>
                <w:color w:val="222222"/>
                <w:sz w:val="19"/>
                <w:szCs w:val="19"/>
              </w:rPr>
              <w:t>Clinical trials (during)</w:t>
            </w:r>
          </w:p>
        </w:tc>
      </w:tr>
      <w:tr w:rsidR="00D63AB1" w14:paraId="78D6DB0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5FA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F5EAFDA" w14:textId="77777777" w:rsidR="00D63AB1" w:rsidRDefault="00000000">
            <w:r>
              <w:rPr>
                <w:color w:val="222222"/>
                <w:sz w:val="19"/>
                <w:szCs w:val="19"/>
              </w:rPr>
              <w:t>Batch Records</w:t>
            </w:r>
          </w:p>
        </w:tc>
        <w:tc>
          <w:tcPr>
            <w:tcW w:w="3800" w:type="dxa"/>
            <w:shd w:val="clear" w:color="auto" w:fill="F5FA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E8D35EF" w14:textId="77777777" w:rsidR="00D63AB1" w:rsidRDefault="00000000">
            <w:r>
              <w:rPr>
                <w:color w:val="222222"/>
                <w:sz w:val="19"/>
                <w:szCs w:val="19"/>
              </w:rPr>
              <w:t>Full manufacturing history of one batch</w:t>
            </w:r>
          </w:p>
        </w:tc>
        <w:tc>
          <w:tcPr>
            <w:tcW w:w="3100" w:type="dxa"/>
            <w:shd w:val="clear" w:color="auto" w:fill="F5FA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5ACF7E" w14:textId="77777777" w:rsidR="00D63AB1" w:rsidRDefault="00000000">
            <w:r>
              <w:rPr>
                <w:color w:val="222222"/>
                <w:sz w:val="19"/>
                <w:szCs w:val="19"/>
              </w:rPr>
              <w:t>Manufacturing</w:t>
            </w:r>
          </w:p>
        </w:tc>
      </w:tr>
      <w:tr w:rsidR="00D63AB1" w14:paraId="48391E7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59E9076" w14:textId="77777777" w:rsidR="00D63AB1" w:rsidRDefault="00000000">
            <w:r>
              <w:rPr>
                <w:color w:val="222222"/>
                <w:sz w:val="19"/>
                <w:szCs w:val="19"/>
              </w:rPr>
              <w:t>TMF</w:t>
            </w:r>
          </w:p>
        </w:tc>
        <w:tc>
          <w:tcPr>
            <w:tcW w:w="38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F18D9C2" w14:textId="77777777" w:rsidR="00D63AB1" w:rsidRDefault="00000000">
            <w:r>
              <w:rPr>
                <w:color w:val="222222"/>
                <w:sz w:val="19"/>
                <w:szCs w:val="19"/>
              </w:rPr>
              <w:t>Master file of all trial documents</w:t>
            </w:r>
          </w:p>
        </w:tc>
        <w:tc>
          <w:tcPr>
            <w:tcW w:w="31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766A79D" w14:textId="77777777" w:rsidR="00D63AB1" w:rsidRDefault="00000000">
            <w:r>
              <w:rPr>
                <w:color w:val="222222"/>
                <w:sz w:val="19"/>
                <w:szCs w:val="19"/>
              </w:rPr>
              <w:t>Clinical trials (throughout)</w:t>
            </w:r>
          </w:p>
        </w:tc>
      </w:tr>
      <w:tr w:rsidR="00D63AB1" w14:paraId="627EC41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5FA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5241F9" w14:textId="77777777" w:rsidR="00D63AB1" w:rsidRDefault="00000000">
            <w:r>
              <w:rPr>
                <w:color w:val="222222"/>
                <w:sz w:val="19"/>
                <w:szCs w:val="19"/>
              </w:rPr>
              <w:t>CSR</w:t>
            </w:r>
          </w:p>
        </w:tc>
        <w:tc>
          <w:tcPr>
            <w:tcW w:w="3800" w:type="dxa"/>
            <w:shd w:val="clear" w:color="auto" w:fill="F5FA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8B9D4A2" w14:textId="77777777" w:rsidR="00D63AB1" w:rsidRDefault="00000000">
            <w:r>
              <w:rPr>
                <w:color w:val="222222"/>
                <w:sz w:val="19"/>
                <w:szCs w:val="19"/>
              </w:rPr>
              <w:t>Final report summarizing trial results</w:t>
            </w:r>
          </w:p>
        </w:tc>
        <w:tc>
          <w:tcPr>
            <w:tcW w:w="3100" w:type="dxa"/>
            <w:shd w:val="clear" w:color="auto" w:fill="F5FA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C1F2943" w14:textId="77777777" w:rsidR="00D63AB1" w:rsidRDefault="00000000">
            <w:r>
              <w:rPr>
                <w:color w:val="222222"/>
                <w:sz w:val="19"/>
                <w:szCs w:val="19"/>
              </w:rPr>
              <w:t>Clinical trials (after)</w:t>
            </w:r>
          </w:p>
        </w:tc>
      </w:tr>
      <w:tr w:rsidR="00D63AB1" w14:paraId="56CEDA2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435442E" w14:textId="77777777" w:rsidR="00D63AB1" w:rsidRDefault="00000000">
            <w:r>
              <w:rPr>
                <w:color w:val="222222"/>
                <w:sz w:val="19"/>
                <w:szCs w:val="19"/>
              </w:rPr>
              <w:t>Define.xml</w:t>
            </w:r>
          </w:p>
        </w:tc>
        <w:tc>
          <w:tcPr>
            <w:tcW w:w="38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A85576C" w14:textId="77777777" w:rsidR="00D63AB1" w:rsidRDefault="00000000">
            <w:r>
              <w:rPr>
                <w:color w:val="222222"/>
                <w:sz w:val="19"/>
                <w:szCs w:val="19"/>
              </w:rPr>
              <w:t>Data format for regulatory submission</w:t>
            </w:r>
          </w:p>
        </w:tc>
        <w:tc>
          <w:tcPr>
            <w:tcW w:w="31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877CBB5" w14:textId="77777777" w:rsidR="00D63AB1" w:rsidRDefault="00000000">
            <w:r>
              <w:rPr>
                <w:color w:val="222222"/>
                <w:sz w:val="19"/>
                <w:szCs w:val="19"/>
              </w:rPr>
              <w:t>Data management (awareness only)</w:t>
            </w:r>
          </w:p>
        </w:tc>
      </w:tr>
    </w:tbl>
    <w:p w14:paraId="589436F4" w14:textId="77777777" w:rsidR="00D63AB1" w:rsidRDefault="00D63AB1">
      <w:pPr>
        <w:spacing w:after="300"/>
      </w:pPr>
    </w:p>
    <w:p w14:paraId="490D033C" w14:textId="77777777" w:rsidR="00D63AB1" w:rsidRDefault="00000000">
      <w:pPr>
        <w:pBdr>
          <w:bottom w:val="single" w:sz="8" w:space="4" w:color="1E8A5F"/>
        </w:pBdr>
        <w:spacing w:before="200" w:after="140"/>
      </w:pPr>
      <w:r>
        <w:rPr>
          <w:b/>
          <w:bCs/>
          <w:color w:val="0F5C3C"/>
          <w:sz w:val="27"/>
          <w:szCs w:val="27"/>
        </w:rPr>
        <w:t>Why This Matters</w:t>
      </w:r>
    </w:p>
    <w:p w14:paraId="1341F169" w14:textId="77777777" w:rsidR="00D63AB1" w:rsidRDefault="00000000">
      <w:pPr>
        <w:spacing w:after="180" w:line="330" w:lineRule="auto"/>
      </w:pPr>
      <w:r>
        <w:rPr>
          <w:color w:val="222222"/>
          <w:sz w:val="22"/>
          <w:szCs w:val="22"/>
        </w:rPr>
        <w:t xml:space="preserve">Documentation is how pharma proves that everything was done correctly, safely, and consistently — it's the evidence behind every claim a company makes about a medicine. Recognising these document names, and knowing roughly where each one fits, helps you understand what colleagues and managers are </w:t>
      </w:r>
      <w:proofErr w:type="gramStart"/>
      <w:r>
        <w:rPr>
          <w:color w:val="222222"/>
          <w:sz w:val="22"/>
          <w:szCs w:val="22"/>
        </w:rPr>
        <w:t>actually talking</w:t>
      </w:r>
      <w:proofErr w:type="gramEnd"/>
      <w:r>
        <w:rPr>
          <w:color w:val="222222"/>
          <w:sz w:val="22"/>
          <w:szCs w:val="22"/>
        </w:rPr>
        <w:t xml:space="preserve"> about on the job.</w:t>
      </w:r>
    </w:p>
    <w:p w14:paraId="63D7101A" w14:textId="77777777" w:rsidR="00D63AB1" w:rsidRDefault="00000000">
      <w:pPr>
        <w:pBdr>
          <w:left w:val="single" w:sz="16" w:space="8" w:color="1E8A5F"/>
        </w:pBdr>
        <w:shd w:val="clear" w:color="auto" w:fill="E8F5EE"/>
        <w:spacing w:before="100" w:after="180"/>
        <w:ind w:left="200"/>
      </w:pPr>
      <w:r>
        <w:rPr>
          <w:i/>
          <w:iCs/>
          <w:color w:val="0F5C3C"/>
          <w:sz w:val="19"/>
          <w:szCs w:val="19"/>
        </w:rPr>
        <w:t>Reflect: Which of these documents would you expect to work with most closely in the career path you're interested in?</w:t>
      </w:r>
    </w:p>
    <w:sectPr w:rsidR="00D63AB1">
      <w:pgSz w:w="12240" w:h="15840"/>
      <w:pgMar w:top="1000" w:right="1150" w:bottom="1000" w:left="11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2701D1"/>
    <w:multiLevelType w:val="hybridMultilevel"/>
    <w:tmpl w:val="A440B49E"/>
    <w:lvl w:ilvl="0" w:tplc="BF70BF7E">
      <w:start w:val="1"/>
      <w:numFmt w:val="bullet"/>
      <w:lvlText w:val="•"/>
      <w:lvlJc w:val="left"/>
      <w:pPr>
        <w:ind w:left="504" w:hanging="288"/>
      </w:pPr>
    </w:lvl>
    <w:lvl w:ilvl="1" w:tplc="F96EBAF8">
      <w:numFmt w:val="decimal"/>
      <w:lvlText w:val=""/>
      <w:lvlJc w:val="left"/>
    </w:lvl>
    <w:lvl w:ilvl="2" w:tplc="530C4776">
      <w:numFmt w:val="decimal"/>
      <w:lvlText w:val=""/>
      <w:lvlJc w:val="left"/>
    </w:lvl>
    <w:lvl w:ilvl="3" w:tplc="EB5817EE">
      <w:numFmt w:val="decimal"/>
      <w:lvlText w:val=""/>
      <w:lvlJc w:val="left"/>
    </w:lvl>
    <w:lvl w:ilvl="4" w:tplc="833E8852">
      <w:numFmt w:val="decimal"/>
      <w:lvlText w:val=""/>
      <w:lvlJc w:val="left"/>
    </w:lvl>
    <w:lvl w:ilvl="5" w:tplc="13ACF854">
      <w:numFmt w:val="decimal"/>
      <w:lvlText w:val=""/>
      <w:lvlJc w:val="left"/>
    </w:lvl>
    <w:lvl w:ilvl="6" w:tplc="77CAE914">
      <w:numFmt w:val="decimal"/>
      <w:lvlText w:val=""/>
      <w:lvlJc w:val="left"/>
    </w:lvl>
    <w:lvl w:ilvl="7" w:tplc="34865822">
      <w:numFmt w:val="decimal"/>
      <w:lvlText w:val=""/>
      <w:lvlJc w:val="left"/>
    </w:lvl>
    <w:lvl w:ilvl="8" w:tplc="85860EEA">
      <w:numFmt w:val="decimal"/>
      <w:lvlText w:val=""/>
      <w:lvlJc w:val="left"/>
    </w:lvl>
  </w:abstractNum>
  <w:abstractNum w:abstractNumId="1" w15:restartNumberingAfterBreak="0">
    <w:nsid w:val="7505234D"/>
    <w:multiLevelType w:val="hybridMultilevel"/>
    <w:tmpl w:val="B5F4EEC8"/>
    <w:lvl w:ilvl="0" w:tplc="F20AF3E4">
      <w:start w:val="1"/>
      <w:numFmt w:val="bullet"/>
      <w:lvlText w:val="●"/>
      <w:lvlJc w:val="left"/>
      <w:pPr>
        <w:ind w:left="720" w:hanging="360"/>
      </w:pPr>
    </w:lvl>
    <w:lvl w:ilvl="1" w:tplc="28603828">
      <w:start w:val="1"/>
      <w:numFmt w:val="bullet"/>
      <w:lvlText w:val="○"/>
      <w:lvlJc w:val="left"/>
      <w:pPr>
        <w:ind w:left="1440" w:hanging="360"/>
      </w:pPr>
    </w:lvl>
    <w:lvl w:ilvl="2" w:tplc="B332F248">
      <w:start w:val="1"/>
      <w:numFmt w:val="bullet"/>
      <w:lvlText w:val="■"/>
      <w:lvlJc w:val="left"/>
      <w:pPr>
        <w:ind w:left="2160" w:hanging="360"/>
      </w:pPr>
    </w:lvl>
    <w:lvl w:ilvl="3" w:tplc="5C5A8560">
      <w:start w:val="1"/>
      <w:numFmt w:val="bullet"/>
      <w:lvlText w:val="●"/>
      <w:lvlJc w:val="left"/>
      <w:pPr>
        <w:ind w:left="2880" w:hanging="360"/>
      </w:pPr>
    </w:lvl>
    <w:lvl w:ilvl="4" w:tplc="49769B8C">
      <w:start w:val="1"/>
      <w:numFmt w:val="bullet"/>
      <w:lvlText w:val="○"/>
      <w:lvlJc w:val="left"/>
      <w:pPr>
        <w:ind w:left="3600" w:hanging="360"/>
      </w:pPr>
    </w:lvl>
    <w:lvl w:ilvl="5" w:tplc="F3A0CB32">
      <w:start w:val="1"/>
      <w:numFmt w:val="bullet"/>
      <w:lvlText w:val="■"/>
      <w:lvlJc w:val="left"/>
      <w:pPr>
        <w:ind w:left="4320" w:hanging="360"/>
      </w:pPr>
    </w:lvl>
    <w:lvl w:ilvl="6" w:tplc="D24088CA">
      <w:start w:val="1"/>
      <w:numFmt w:val="bullet"/>
      <w:lvlText w:val="●"/>
      <w:lvlJc w:val="left"/>
      <w:pPr>
        <w:ind w:left="5040" w:hanging="360"/>
      </w:pPr>
    </w:lvl>
    <w:lvl w:ilvl="7" w:tplc="294A68E0">
      <w:start w:val="1"/>
      <w:numFmt w:val="bullet"/>
      <w:lvlText w:val="●"/>
      <w:lvlJc w:val="left"/>
      <w:pPr>
        <w:ind w:left="5760" w:hanging="360"/>
      </w:pPr>
    </w:lvl>
    <w:lvl w:ilvl="8" w:tplc="D17044D8">
      <w:start w:val="1"/>
      <w:numFmt w:val="bullet"/>
      <w:lvlText w:val="●"/>
      <w:lvlJc w:val="left"/>
      <w:pPr>
        <w:ind w:left="6480" w:hanging="360"/>
      </w:pPr>
    </w:lvl>
  </w:abstractNum>
  <w:num w:numId="1" w16cid:durableId="93674535">
    <w:abstractNumId w:val="1"/>
    <w:lvlOverride w:ilvl="0">
      <w:startOverride w:val="1"/>
    </w:lvlOverride>
  </w:num>
  <w:num w:numId="2" w16cid:durableId="5532026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3AB1"/>
    <w:rsid w:val="004976D4"/>
    <w:rsid w:val="00602C19"/>
    <w:rsid w:val="009A3C32"/>
    <w:rsid w:val="00D63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A3ACC"/>
  <w15:docId w15:val="{0FBFDD57-C84D-4276-A6C1-3551000C4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df3522f-8c42-44b0-bea3-7f162a60ea50}" enabled="1" method="Standard" siteId="{63982aff-fb6c-4c22-973b-70e4acfb63e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787</Words>
  <Characters>4489</Characters>
  <Application>Microsoft Office Word</Application>
  <DocSecurity>0</DocSecurity>
  <Lines>37</Lines>
  <Paragraphs>10</Paragraphs>
  <ScaleCrop>false</ScaleCrop>
  <Company>GlaxoSmithKline</Company>
  <LinksUpToDate>false</LinksUpToDate>
  <CharactersWithSpaces>5266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Panuganti Hanumantha Rao</cp:lastModifiedBy>
  <cp:revision>3</cp:revision>
  <dcterms:created xsi:type="dcterms:W3CDTF">2026-08-04T05:24:00Z</dcterms:created>
  <dcterms:modified xsi:type="dcterms:W3CDTF">2026-08-04T05:27:00Z</dcterms:modified>
</cp:coreProperties>
</file>