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0BEA" w14:textId="77777777" w:rsidR="00661C6D" w:rsidRDefault="00000000">
      <w:pPr>
        <w:spacing w:before="400"/>
        <w:jc w:val="center"/>
      </w:pPr>
      <w:r>
        <w:rPr>
          <w:noProof/>
        </w:rPr>
        <w:drawing>
          <wp:inline distT="0" distB="0" distL="0" distR="0" wp14:anchorId="40607954" wp14:editId="7AB903E1">
            <wp:extent cx="1047750" cy="85073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4971" t="-16571" r="-4971" b="35374"/>
                    <a:stretch>
                      <a:fillRect/>
                    </a:stretch>
                  </pic:blipFill>
                  <pic:spPr bwMode="auto">
                    <a:xfrm>
                      <a:off x="0" y="0"/>
                      <a:ext cx="1051237" cy="853570"/>
                    </a:xfrm>
                    <a:prstGeom prst="rect">
                      <a:avLst/>
                    </a:prstGeom>
                    <a:ln>
                      <a:noFill/>
                    </a:ln>
                    <a:extLst>
                      <a:ext uri="{53640926-AAD7-44D8-BBD7-CCE9431645EC}">
                        <a14:shadowObscured xmlns:a14="http://schemas.microsoft.com/office/drawing/2010/main"/>
                      </a:ext>
                    </a:extLst>
                  </pic:spPr>
                </pic:pic>
              </a:graphicData>
            </a:graphic>
          </wp:inline>
        </w:drawing>
      </w:r>
    </w:p>
    <w:p w14:paraId="7A6DE280" w14:textId="77777777" w:rsidR="00661C6D" w:rsidRDefault="00000000">
      <w:pPr>
        <w:spacing w:before="260" w:after="80"/>
        <w:jc w:val="center"/>
      </w:pPr>
      <w:r>
        <w:rPr>
          <w:b/>
          <w:bCs/>
          <w:color w:val="1E8A5F"/>
          <w:spacing w:val="20"/>
          <w:sz w:val="24"/>
          <w:szCs w:val="24"/>
        </w:rPr>
        <w:t>PHARMABRIDGE ACADEMY</w:t>
      </w:r>
    </w:p>
    <w:p w14:paraId="6497482D" w14:textId="77777777" w:rsidR="00661C6D" w:rsidRDefault="00000000">
      <w:pPr>
        <w:spacing w:after="360"/>
        <w:jc w:val="center"/>
      </w:pPr>
      <w:r>
        <w:rPr>
          <w:i/>
          <w:iCs/>
          <w:color w:val="6B6B6B"/>
          <w:sz w:val="18"/>
          <w:szCs w:val="18"/>
        </w:rPr>
        <w:t>Bridging Pharmacy Education with Industry Excellence</w:t>
      </w:r>
    </w:p>
    <w:p w14:paraId="1AB8D3F8" w14:textId="77777777" w:rsidR="00661C6D" w:rsidRDefault="00000000">
      <w:pPr>
        <w:spacing w:before="200" w:after="160"/>
        <w:jc w:val="center"/>
      </w:pPr>
      <w:r>
        <w:rPr>
          <w:b/>
          <w:bCs/>
          <w:color w:val="0F5C3C"/>
          <w:sz w:val="44"/>
          <w:szCs w:val="44"/>
        </w:rPr>
        <w:t>GxP Fundamentals</w:t>
      </w:r>
    </w:p>
    <w:p w14:paraId="3FA8A0F8" w14:textId="77777777" w:rsidR="00661C6D" w:rsidRDefault="00000000">
      <w:pPr>
        <w:spacing w:after="400"/>
        <w:jc w:val="center"/>
      </w:pPr>
      <w:r>
        <w:rPr>
          <w:color w:val="222222"/>
          <w:sz w:val="22"/>
          <w:szCs w:val="22"/>
        </w:rPr>
        <w:t>Student Notes — A Quick Understanding Guide</w:t>
      </w:r>
    </w:p>
    <w:p w14:paraId="419E20BE" w14:textId="05E9089E" w:rsidR="00661C6D" w:rsidRDefault="00000000" w:rsidP="003C7D15">
      <w:pPr>
        <w:spacing w:before="120" w:after="200"/>
        <w:jc w:val="center"/>
        <w:sectPr w:rsidR="00661C6D">
          <w:pgSz w:w="12240" w:h="15840"/>
          <w:pgMar w:top="1000" w:right="1150" w:bottom="1000" w:left="1150" w:header="708" w:footer="708" w:gutter="0"/>
          <w:cols w:space="720"/>
          <w:docGrid w:linePitch="360"/>
        </w:sectPr>
      </w:pPr>
      <w:r>
        <w:rPr>
          <w:noProof/>
        </w:rPr>
        <w:drawing>
          <wp:inline distT="0" distB="0" distL="0" distR="0" wp14:anchorId="43C77FDB" wp14:editId="5780C268">
            <wp:extent cx="5905500" cy="3038475"/>
            <wp:effectExtent l="0" t="0" r="0" b="0"/>
            <wp:docPr id="15628008" name="Picture 1562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038475"/>
                    </a:xfrm>
                    <a:prstGeom prst="rect">
                      <a:avLst/>
                    </a:prstGeom>
                  </pic:spPr>
                </pic:pic>
              </a:graphicData>
            </a:graphic>
          </wp:inline>
        </w:drawing>
      </w:r>
    </w:p>
    <w:p w14:paraId="6A5AF5B5" w14:textId="77777777" w:rsidR="00661C6D" w:rsidRDefault="00000000">
      <w:pPr>
        <w:pStyle w:val="Heading1"/>
        <w:pageBreakBefore/>
        <w:pBdr>
          <w:bottom w:val="single" w:sz="8" w:space="4" w:color="1E8A5F"/>
        </w:pBdr>
        <w:spacing w:after="160"/>
      </w:pPr>
      <w:r>
        <w:rPr>
          <w:b/>
          <w:bCs/>
          <w:color w:val="0F5C3C"/>
          <w:sz w:val="30"/>
          <w:szCs w:val="30"/>
        </w:rPr>
        <w:lastRenderedPageBreak/>
        <w:t>The Big Picture</w:t>
      </w:r>
    </w:p>
    <w:p w14:paraId="3E91150B" w14:textId="77777777" w:rsidR="00661C6D" w:rsidRDefault="00000000">
      <w:pPr>
        <w:spacing w:after="180" w:line="330" w:lineRule="auto"/>
      </w:pPr>
      <w:r>
        <w:rPr>
          <w:color w:val="222222"/>
          <w:sz w:val="22"/>
          <w:szCs w:val="22"/>
        </w:rPr>
        <w:t>GxP is not one rulebook — it's a family of "Good ___ Practice" standards that keep quality and patient safety intact at every stage of a medicine's journey. Every GxP term follows the same pattern: "Good" + an activity + "Practice." Once you know that pattern, the acronyms stop feeling like alphabet soup.</w:t>
      </w:r>
    </w:p>
    <w:p w14:paraId="5EE11D3D" w14:textId="77777777" w:rsidR="00661C6D" w:rsidRDefault="00000000">
      <w:pPr>
        <w:spacing w:after="180" w:line="330" w:lineRule="auto"/>
      </w:pPr>
      <w:r>
        <w:rPr>
          <w:color w:val="222222"/>
          <w:sz w:val="22"/>
          <w:szCs w:val="22"/>
        </w:rPr>
        <w:t>Each GxP standard applies to a different part of the journey you already know from the Drug Development Lifecycle module. This overview is meant to build your understanding of what each one covers and why it matters — not to memorize every regulation.</w:t>
      </w:r>
    </w:p>
    <w:p w14:paraId="7D2B899E" w14:textId="77777777" w:rsidR="00661C6D" w:rsidRDefault="00000000">
      <w:pPr>
        <w:spacing w:before="120" w:after="200"/>
        <w:jc w:val="center"/>
      </w:pPr>
      <w:r>
        <w:rPr>
          <w:noProof/>
        </w:rPr>
        <w:drawing>
          <wp:inline distT="0" distB="0" distL="0" distR="0" wp14:anchorId="01AF056C" wp14:editId="326FBA74">
            <wp:extent cx="6096000" cy="1619250"/>
            <wp:effectExtent l="0" t="0" r="0" b="0"/>
            <wp:docPr id="1540141788" name="Picture 154014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619250"/>
                    </a:xfrm>
                    <a:prstGeom prst="rect">
                      <a:avLst/>
                    </a:prstGeom>
                  </pic:spPr>
                </pic:pic>
              </a:graphicData>
            </a:graphic>
          </wp:inline>
        </w:drawing>
      </w:r>
    </w:p>
    <w:p w14:paraId="0A4B7826" w14:textId="77777777" w:rsidR="00661C6D" w:rsidRDefault="00000000">
      <w:pPr>
        <w:spacing w:before="420" w:after="80"/>
      </w:pPr>
      <w:r>
        <w:rPr>
          <w:b/>
          <w:bCs/>
          <w:color w:val="1E8A5F"/>
          <w:sz w:val="29"/>
          <w:szCs w:val="29"/>
        </w:rPr>
        <w:t xml:space="preserve">1. </w:t>
      </w:r>
      <w:r>
        <w:rPr>
          <w:b/>
          <w:bCs/>
          <w:color w:val="0F5C3C"/>
          <w:sz w:val="29"/>
          <w:szCs w:val="29"/>
        </w:rPr>
        <w:t xml:space="preserve">GMP — </w:t>
      </w:r>
      <w:r>
        <w:rPr>
          <w:b/>
          <w:bCs/>
          <w:color w:val="0F5C3C"/>
          <w:sz w:val="22"/>
          <w:szCs w:val="22"/>
        </w:rPr>
        <w:t>Good Manufacturing Practice</w:t>
      </w:r>
    </w:p>
    <w:p w14:paraId="0C4D0620" w14:textId="77777777" w:rsidR="00661C6D" w:rsidRDefault="00000000">
      <w:pPr>
        <w:spacing w:after="160"/>
      </w:pPr>
      <w:r>
        <w:rPr>
          <w:i/>
          <w:iCs/>
          <w:color w:val="6B6B6B"/>
        </w:rPr>
        <w:t>Applies mainly to: Manufacturing / Production teams</w:t>
      </w:r>
    </w:p>
    <w:p w14:paraId="01F0B592" w14:textId="77777777" w:rsidR="00661C6D" w:rsidRDefault="00000000">
      <w:pPr>
        <w:spacing w:after="180" w:line="330" w:lineRule="auto"/>
      </w:pPr>
      <w:r>
        <w:rPr>
          <w:color w:val="222222"/>
          <w:sz w:val="22"/>
          <w:szCs w:val="22"/>
        </w:rPr>
        <w:t>GMP is the set of standards that ensures every batch of medicine is made the same way, every time, with consistent quality. It covers everything from clean facilities and validated equipment to trained staff and documented procedures.</w:t>
      </w:r>
    </w:p>
    <w:p w14:paraId="0A726182" w14:textId="77777777" w:rsidR="00661C6D" w:rsidRDefault="00000000">
      <w:pPr>
        <w:pStyle w:val="ListParagraph"/>
        <w:numPr>
          <w:ilvl w:val="0"/>
          <w:numId w:val="2"/>
        </w:numPr>
        <w:spacing w:after="110" w:line="310" w:lineRule="auto"/>
      </w:pPr>
      <w:r>
        <w:rPr>
          <w:color w:val="222222"/>
          <w:sz w:val="22"/>
          <w:szCs w:val="22"/>
        </w:rPr>
        <w:t>Prevents contamination, mix-ups, and errors during production.</w:t>
      </w:r>
    </w:p>
    <w:p w14:paraId="611365EF" w14:textId="77777777" w:rsidR="00661C6D" w:rsidRDefault="00000000">
      <w:pPr>
        <w:pStyle w:val="ListParagraph"/>
        <w:numPr>
          <w:ilvl w:val="0"/>
          <w:numId w:val="2"/>
        </w:numPr>
        <w:spacing w:after="110" w:line="310" w:lineRule="auto"/>
      </w:pPr>
      <w:r>
        <w:rPr>
          <w:color w:val="222222"/>
          <w:sz w:val="22"/>
          <w:szCs w:val="22"/>
        </w:rPr>
        <w:t>Requires detailed record-keeping — if it isn't documented, it didn't happen.</w:t>
      </w:r>
    </w:p>
    <w:p w14:paraId="403A6B04" w14:textId="77777777" w:rsidR="00661C6D" w:rsidRDefault="00000000">
      <w:pPr>
        <w:pStyle w:val="ListParagraph"/>
        <w:numPr>
          <w:ilvl w:val="0"/>
          <w:numId w:val="2"/>
        </w:numPr>
        <w:spacing w:after="110" w:line="310" w:lineRule="auto"/>
      </w:pPr>
      <w:r>
        <w:rPr>
          <w:color w:val="222222"/>
          <w:sz w:val="22"/>
          <w:szCs w:val="22"/>
        </w:rPr>
        <w:t>Applies at the Commercialisation stage, once a drug moves into large-scale manufacturing.</w:t>
      </w:r>
    </w:p>
    <w:p w14:paraId="1C2843E9" w14:textId="77777777" w:rsidR="00661C6D" w:rsidRDefault="00000000">
      <w:pPr>
        <w:spacing w:before="420" w:after="80"/>
      </w:pPr>
      <w:r>
        <w:rPr>
          <w:b/>
          <w:bCs/>
          <w:color w:val="1E8A5F"/>
          <w:sz w:val="29"/>
          <w:szCs w:val="29"/>
        </w:rPr>
        <w:t xml:space="preserve">2. </w:t>
      </w:r>
      <w:r>
        <w:rPr>
          <w:b/>
          <w:bCs/>
          <w:color w:val="0F5C3C"/>
          <w:sz w:val="29"/>
          <w:szCs w:val="29"/>
        </w:rPr>
        <w:t xml:space="preserve">GCP — </w:t>
      </w:r>
      <w:r>
        <w:rPr>
          <w:b/>
          <w:bCs/>
          <w:color w:val="0F5C3C"/>
          <w:sz w:val="22"/>
          <w:szCs w:val="22"/>
        </w:rPr>
        <w:t>Good Clinical Practice</w:t>
      </w:r>
    </w:p>
    <w:p w14:paraId="4FC1F1BF" w14:textId="77777777" w:rsidR="00661C6D" w:rsidRDefault="00000000">
      <w:pPr>
        <w:spacing w:after="160"/>
      </w:pPr>
      <w:r>
        <w:rPr>
          <w:i/>
          <w:iCs/>
          <w:color w:val="6B6B6B"/>
        </w:rPr>
        <w:t>Applies mainly to: Clinical Research / Clinical Operations</w:t>
      </w:r>
    </w:p>
    <w:p w14:paraId="5E641DC0" w14:textId="77777777" w:rsidR="00661C6D" w:rsidRDefault="00000000">
      <w:pPr>
        <w:spacing w:after="180" w:line="330" w:lineRule="auto"/>
      </w:pPr>
      <w:r>
        <w:rPr>
          <w:color w:val="222222"/>
          <w:sz w:val="22"/>
          <w:szCs w:val="22"/>
        </w:rPr>
        <w:t>GCP is the ethical and scientific standard for designing, conducting, and reporting clinical trials. It exists to protect the rights, safety, and wellbeing of trial participants while ensuring the data collected can be trusted.</w:t>
      </w:r>
    </w:p>
    <w:p w14:paraId="41D64822" w14:textId="77777777" w:rsidR="00661C6D" w:rsidRDefault="00000000">
      <w:pPr>
        <w:pStyle w:val="ListParagraph"/>
        <w:numPr>
          <w:ilvl w:val="0"/>
          <w:numId w:val="2"/>
        </w:numPr>
        <w:spacing w:after="110" w:line="310" w:lineRule="auto"/>
      </w:pPr>
      <w:r>
        <w:rPr>
          <w:color w:val="222222"/>
          <w:sz w:val="22"/>
          <w:szCs w:val="22"/>
        </w:rPr>
        <w:t>Requires informed consent — participants must understand and agree to what a trial involves.</w:t>
      </w:r>
    </w:p>
    <w:p w14:paraId="549A2415" w14:textId="77777777" w:rsidR="00661C6D" w:rsidRDefault="00000000">
      <w:pPr>
        <w:pStyle w:val="ListParagraph"/>
        <w:numPr>
          <w:ilvl w:val="0"/>
          <w:numId w:val="2"/>
        </w:numPr>
        <w:spacing w:after="110" w:line="310" w:lineRule="auto"/>
      </w:pPr>
      <w:r>
        <w:rPr>
          <w:color w:val="222222"/>
          <w:sz w:val="22"/>
          <w:szCs w:val="22"/>
        </w:rPr>
        <w:t>Governs how trial sites are monitored and how data is recorded and verified.</w:t>
      </w:r>
    </w:p>
    <w:p w14:paraId="38670A67" w14:textId="77777777" w:rsidR="00661C6D" w:rsidRDefault="00000000">
      <w:pPr>
        <w:pStyle w:val="ListParagraph"/>
        <w:numPr>
          <w:ilvl w:val="0"/>
          <w:numId w:val="2"/>
        </w:numPr>
        <w:spacing w:after="110" w:line="310" w:lineRule="auto"/>
      </w:pPr>
      <w:r>
        <w:rPr>
          <w:color w:val="222222"/>
          <w:sz w:val="22"/>
          <w:szCs w:val="22"/>
        </w:rPr>
        <w:t>Applies during the Clinical Trials stage of the drug development lifecycle.</w:t>
      </w:r>
    </w:p>
    <w:p w14:paraId="6406E3EA" w14:textId="77777777" w:rsidR="00661C6D" w:rsidRDefault="00000000">
      <w:pPr>
        <w:spacing w:before="420" w:after="80"/>
      </w:pPr>
      <w:r>
        <w:rPr>
          <w:b/>
          <w:bCs/>
          <w:color w:val="1E8A5F"/>
          <w:sz w:val="29"/>
          <w:szCs w:val="29"/>
        </w:rPr>
        <w:t xml:space="preserve">3. </w:t>
      </w:r>
      <w:r>
        <w:rPr>
          <w:b/>
          <w:bCs/>
          <w:color w:val="0F5C3C"/>
          <w:sz w:val="29"/>
          <w:szCs w:val="29"/>
        </w:rPr>
        <w:t xml:space="preserve">GLP — </w:t>
      </w:r>
      <w:r>
        <w:rPr>
          <w:b/>
          <w:bCs/>
          <w:color w:val="0F5C3C"/>
          <w:sz w:val="22"/>
          <w:szCs w:val="22"/>
        </w:rPr>
        <w:t>Good Laboratory Practice</w:t>
      </w:r>
    </w:p>
    <w:p w14:paraId="77626152" w14:textId="77777777" w:rsidR="00661C6D" w:rsidRDefault="00000000">
      <w:pPr>
        <w:spacing w:after="160"/>
      </w:pPr>
      <w:r>
        <w:rPr>
          <w:i/>
          <w:iCs/>
          <w:color w:val="6B6B6B"/>
        </w:rPr>
        <w:lastRenderedPageBreak/>
        <w:t>Applies mainly to: Preclinical / Toxicology labs</w:t>
      </w:r>
    </w:p>
    <w:p w14:paraId="143C746A" w14:textId="77777777" w:rsidR="00661C6D" w:rsidRDefault="00000000">
      <w:pPr>
        <w:spacing w:after="180" w:line="330" w:lineRule="auto"/>
      </w:pPr>
      <w:r>
        <w:rPr>
          <w:color w:val="222222"/>
          <w:sz w:val="22"/>
          <w:szCs w:val="22"/>
        </w:rPr>
        <w:t>GLP governs the non-clinical safety studies done before a drug is ever tested on humans — mainly lab and animal studies. It ensures the safety data submitted to regulators is accurate, reproducible, and honestly reported.</w:t>
      </w:r>
    </w:p>
    <w:p w14:paraId="6E4AB017" w14:textId="77777777" w:rsidR="00661C6D" w:rsidRDefault="00000000">
      <w:pPr>
        <w:pStyle w:val="ListParagraph"/>
        <w:numPr>
          <w:ilvl w:val="0"/>
          <w:numId w:val="2"/>
        </w:numPr>
        <w:spacing w:after="110" w:line="310" w:lineRule="auto"/>
      </w:pPr>
      <w:r>
        <w:rPr>
          <w:color w:val="222222"/>
          <w:sz w:val="22"/>
          <w:szCs w:val="22"/>
        </w:rPr>
        <w:t>Focuses on how studies are planned, performed, monitored, and recorded.</w:t>
      </w:r>
    </w:p>
    <w:p w14:paraId="42525B4A" w14:textId="77777777" w:rsidR="00661C6D" w:rsidRDefault="00000000">
      <w:pPr>
        <w:pStyle w:val="ListParagraph"/>
        <w:numPr>
          <w:ilvl w:val="0"/>
          <w:numId w:val="2"/>
        </w:numPr>
        <w:spacing w:after="110" w:line="310" w:lineRule="auto"/>
      </w:pPr>
      <w:r>
        <w:rPr>
          <w:color w:val="222222"/>
          <w:sz w:val="22"/>
          <w:szCs w:val="22"/>
        </w:rPr>
        <w:t>Gives regulators confidence that early safety findings aren't exaggerated or hidden.</w:t>
      </w:r>
    </w:p>
    <w:p w14:paraId="6C850650" w14:textId="77777777" w:rsidR="00661C6D" w:rsidRDefault="00000000">
      <w:pPr>
        <w:pStyle w:val="ListParagraph"/>
        <w:numPr>
          <w:ilvl w:val="0"/>
          <w:numId w:val="2"/>
        </w:numPr>
        <w:spacing w:after="110" w:line="310" w:lineRule="auto"/>
      </w:pPr>
      <w:r>
        <w:rPr>
          <w:color w:val="222222"/>
          <w:sz w:val="22"/>
          <w:szCs w:val="22"/>
        </w:rPr>
        <w:t>Applies during the Preclinical stage, before a candidate ever reaches human trials.</w:t>
      </w:r>
    </w:p>
    <w:p w14:paraId="46502280" w14:textId="77777777" w:rsidR="00661C6D" w:rsidRDefault="00000000">
      <w:pPr>
        <w:spacing w:before="420" w:after="80"/>
      </w:pPr>
      <w:r>
        <w:rPr>
          <w:b/>
          <w:bCs/>
          <w:color w:val="1E8A5F"/>
          <w:sz w:val="29"/>
          <w:szCs w:val="29"/>
        </w:rPr>
        <w:t xml:space="preserve">4. </w:t>
      </w:r>
      <w:r>
        <w:rPr>
          <w:b/>
          <w:bCs/>
          <w:color w:val="0F5C3C"/>
          <w:sz w:val="29"/>
          <w:szCs w:val="29"/>
        </w:rPr>
        <w:t xml:space="preserve">GDP — </w:t>
      </w:r>
      <w:r>
        <w:rPr>
          <w:b/>
          <w:bCs/>
          <w:color w:val="0F5C3C"/>
          <w:sz w:val="22"/>
          <w:szCs w:val="22"/>
        </w:rPr>
        <w:t>Good Distribution Practice</w:t>
      </w:r>
    </w:p>
    <w:p w14:paraId="0B4850A9" w14:textId="77777777" w:rsidR="00661C6D" w:rsidRDefault="00000000">
      <w:pPr>
        <w:spacing w:after="160"/>
      </w:pPr>
      <w:r>
        <w:rPr>
          <w:i/>
          <w:iCs/>
          <w:color w:val="6B6B6B"/>
        </w:rPr>
        <w:t>Applies mainly to: Supply Chain / Logistics</w:t>
      </w:r>
    </w:p>
    <w:p w14:paraId="704B13CC" w14:textId="77777777" w:rsidR="00661C6D" w:rsidRDefault="00000000">
      <w:pPr>
        <w:spacing w:after="180" w:line="330" w:lineRule="auto"/>
      </w:pPr>
      <w:r>
        <w:rPr>
          <w:color w:val="222222"/>
          <w:sz w:val="22"/>
          <w:szCs w:val="22"/>
        </w:rPr>
        <w:t>GDP ensures that a medicine's quality is preserved after it leaves the factory — during storage, transport, and handling — all the way until it reaches a pharmacy or hospital.</w:t>
      </w:r>
    </w:p>
    <w:p w14:paraId="0B435FFD" w14:textId="77777777" w:rsidR="00661C6D" w:rsidRDefault="00000000">
      <w:pPr>
        <w:pStyle w:val="ListParagraph"/>
        <w:numPr>
          <w:ilvl w:val="0"/>
          <w:numId w:val="2"/>
        </w:numPr>
        <w:spacing w:after="110" w:line="310" w:lineRule="auto"/>
      </w:pPr>
      <w:r>
        <w:rPr>
          <w:color w:val="222222"/>
          <w:sz w:val="22"/>
          <w:szCs w:val="22"/>
        </w:rPr>
        <w:t>Covers correct storage conditions, such as temperature-controlled (cold chain) transport for sensitive products.</w:t>
      </w:r>
    </w:p>
    <w:p w14:paraId="32C62F86" w14:textId="77777777" w:rsidR="00661C6D" w:rsidRDefault="00000000">
      <w:pPr>
        <w:pStyle w:val="ListParagraph"/>
        <w:numPr>
          <w:ilvl w:val="0"/>
          <w:numId w:val="2"/>
        </w:numPr>
        <w:spacing w:after="110" w:line="310" w:lineRule="auto"/>
      </w:pPr>
      <w:r>
        <w:rPr>
          <w:color w:val="222222"/>
          <w:sz w:val="22"/>
          <w:szCs w:val="22"/>
        </w:rPr>
        <w:t>Prevents counterfeit or damaged products from entering the supply chain.</w:t>
      </w:r>
    </w:p>
    <w:p w14:paraId="7819ED82" w14:textId="77777777" w:rsidR="00661C6D" w:rsidRDefault="00000000">
      <w:pPr>
        <w:pStyle w:val="ListParagraph"/>
        <w:numPr>
          <w:ilvl w:val="0"/>
          <w:numId w:val="2"/>
        </w:numPr>
        <w:spacing w:after="110" w:line="310" w:lineRule="auto"/>
      </w:pPr>
      <w:r>
        <w:rPr>
          <w:color w:val="222222"/>
          <w:sz w:val="22"/>
          <w:szCs w:val="22"/>
        </w:rPr>
        <w:t>Applies during Commercialisation, alongside manufacturing, as the medicine moves to market.</w:t>
      </w:r>
    </w:p>
    <w:p w14:paraId="15B99F85" w14:textId="77777777" w:rsidR="00661C6D" w:rsidRDefault="00000000">
      <w:pPr>
        <w:spacing w:before="420" w:after="80"/>
      </w:pPr>
      <w:r>
        <w:rPr>
          <w:b/>
          <w:bCs/>
          <w:color w:val="1E8A5F"/>
          <w:sz w:val="29"/>
          <w:szCs w:val="29"/>
        </w:rPr>
        <w:t xml:space="preserve">5. </w:t>
      </w:r>
      <w:r>
        <w:rPr>
          <w:b/>
          <w:bCs/>
          <w:color w:val="0F5C3C"/>
          <w:sz w:val="29"/>
          <w:szCs w:val="29"/>
        </w:rPr>
        <w:t xml:space="preserve">GVP — </w:t>
      </w:r>
      <w:r>
        <w:rPr>
          <w:b/>
          <w:bCs/>
          <w:color w:val="0F5C3C"/>
          <w:sz w:val="22"/>
          <w:szCs w:val="22"/>
        </w:rPr>
        <w:t>Good Pharmacovigilance Practice</w:t>
      </w:r>
    </w:p>
    <w:p w14:paraId="0D297E92" w14:textId="77777777" w:rsidR="00661C6D" w:rsidRDefault="00000000">
      <w:pPr>
        <w:spacing w:after="160"/>
      </w:pPr>
      <w:r>
        <w:rPr>
          <w:i/>
          <w:iCs/>
          <w:color w:val="6B6B6B"/>
        </w:rPr>
        <w:t>Applies mainly to: Pharmacovigilance / Drug Safety</w:t>
      </w:r>
    </w:p>
    <w:p w14:paraId="0BE964EF" w14:textId="77777777" w:rsidR="00661C6D" w:rsidRDefault="00000000">
      <w:pPr>
        <w:spacing w:after="180" w:line="330" w:lineRule="auto"/>
      </w:pPr>
      <w:r>
        <w:rPr>
          <w:color w:val="222222"/>
          <w:sz w:val="22"/>
          <w:szCs w:val="22"/>
        </w:rPr>
        <w:t>GVP governs how companies monitor a medicine's safety after it's already on the market. Since clinical trials can't catch every rare side effect, this ongoing monitoring is what keeps patients protected long-term.</w:t>
      </w:r>
    </w:p>
    <w:p w14:paraId="13D1D9A7" w14:textId="77777777" w:rsidR="00661C6D" w:rsidRDefault="00000000">
      <w:pPr>
        <w:pStyle w:val="ListParagraph"/>
        <w:numPr>
          <w:ilvl w:val="0"/>
          <w:numId w:val="2"/>
        </w:numPr>
        <w:spacing w:after="110" w:line="310" w:lineRule="auto"/>
      </w:pPr>
      <w:r>
        <w:rPr>
          <w:color w:val="222222"/>
          <w:sz w:val="22"/>
          <w:szCs w:val="22"/>
        </w:rPr>
        <w:t>Requires companies to collect, assess, and report adverse events from real-world use.</w:t>
      </w:r>
    </w:p>
    <w:p w14:paraId="74979150" w14:textId="77777777" w:rsidR="00661C6D" w:rsidRDefault="00000000">
      <w:pPr>
        <w:pStyle w:val="ListParagraph"/>
        <w:numPr>
          <w:ilvl w:val="0"/>
          <w:numId w:val="2"/>
        </w:numPr>
        <w:spacing w:after="110" w:line="310" w:lineRule="auto"/>
      </w:pPr>
      <w:r>
        <w:rPr>
          <w:color w:val="222222"/>
          <w:sz w:val="22"/>
          <w:szCs w:val="22"/>
        </w:rPr>
        <w:t>Can lead to updated safety labels, warnings, or in rare cases, a product being withdrawn.</w:t>
      </w:r>
    </w:p>
    <w:p w14:paraId="75AEAC5C" w14:textId="77777777" w:rsidR="00661C6D" w:rsidRDefault="00000000">
      <w:pPr>
        <w:pStyle w:val="ListParagraph"/>
        <w:numPr>
          <w:ilvl w:val="0"/>
          <w:numId w:val="2"/>
        </w:numPr>
        <w:spacing w:after="110" w:line="310" w:lineRule="auto"/>
      </w:pPr>
      <w:r>
        <w:rPr>
          <w:color w:val="222222"/>
          <w:sz w:val="22"/>
          <w:szCs w:val="22"/>
        </w:rPr>
        <w:t>Applies during the Post-Marketing Surveillance stage, after approval and launch.</w:t>
      </w:r>
    </w:p>
    <w:p w14:paraId="491740D4" w14:textId="77777777" w:rsidR="00661C6D" w:rsidRDefault="00000000">
      <w:pPr>
        <w:spacing w:before="420" w:after="80"/>
      </w:pPr>
      <w:r>
        <w:rPr>
          <w:b/>
          <w:bCs/>
          <w:color w:val="1E8A5F"/>
          <w:sz w:val="29"/>
          <w:szCs w:val="29"/>
        </w:rPr>
        <w:t xml:space="preserve">6. </w:t>
      </w:r>
      <w:r>
        <w:rPr>
          <w:b/>
          <w:bCs/>
          <w:color w:val="0F5C3C"/>
          <w:sz w:val="29"/>
          <w:szCs w:val="29"/>
        </w:rPr>
        <w:t xml:space="preserve">GCLP — </w:t>
      </w:r>
      <w:r>
        <w:rPr>
          <w:b/>
          <w:bCs/>
          <w:color w:val="0F5C3C"/>
          <w:sz w:val="22"/>
          <w:szCs w:val="22"/>
        </w:rPr>
        <w:t>Good Clinical Laboratory Practice</w:t>
      </w:r>
    </w:p>
    <w:p w14:paraId="1C1EE527" w14:textId="77777777" w:rsidR="00661C6D" w:rsidRDefault="00000000">
      <w:pPr>
        <w:spacing w:after="160"/>
      </w:pPr>
      <w:r>
        <w:rPr>
          <w:i/>
          <w:iCs/>
          <w:color w:val="6B6B6B"/>
        </w:rPr>
        <w:t>Applies mainly to: Bioanalytical / Clinical trial labs</w:t>
      </w:r>
    </w:p>
    <w:p w14:paraId="6849BE5D" w14:textId="77777777" w:rsidR="00661C6D" w:rsidRDefault="00000000">
      <w:pPr>
        <w:spacing w:after="180" w:line="330" w:lineRule="auto"/>
      </w:pPr>
      <w:r>
        <w:rPr>
          <w:color w:val="222222"/>
          <w:sz w:val="22"/>
          <w:szCs w:val="22"/>
        </w:rPr>
        <w:t>GCLP is a hybrid standard — it applies GLP's rigor around data integrity to laboratories that analyze samples (like blood or tissue) collected during clinical trials. Think of it as GCP and GLP meeting in the lab.</w:t>
      </w:r>
    </w:p>
    <w:p w14:paraId="7018F4A3" w14:textId="77777777" w:rsidR="00661C6D" w:rsidRDefault="00000000">
      <w:pPr>
        <w:pStyle w:val="ListParagraph"/>
        <w:numPr>
          <w:ilvl w:val="0"/>
          <w:numId w:val="2"/>
        </w:numPr>
        <w:spacing w:after="110" w:line="310" w:lineRule="auto"/>
      </w:pPr>
      <w:r>
        <w:rPr>
          <w:color w:val="222222"/>
          <w:sz w:val="22"/>
          <w:szCs w:val="22"/>
        </w:rPr>
        <w:t>Used by labs that test clinical trial samples, not by the trial sites themselves.</w:t>
      </w:r>
    </w:p>
    <w:p w14:paraId="086DFEEA" w14:textId="77777777" w:rsidR="00661C6D" w:rsidRDefault="00000000">
      <w:pPr>
        <w:pStyle w:val="ListParagraph"/>
        <w:numPr>
          <w:ilvl w:val="0"/>
          <w:numId w:val="2"/>
        </w:numPr>
        <w:spacing w:after="110" w:line="310" w:lineRule="auto"/>
      </w:pPr>
      <w:r>
        <w:rPr>
          <w:color w:val="222222"/>
          <w:sz w:val="22"/>
          <w:szCs w:val="22"/>
        </w:rPr>
        <w:t>Ensures lab results feeding into a clinical trial are just as trustworthy as the trial data itself.</w:t>
      </w:r>
    </w:p>
    <w:p w14:paraId="7ED9077C" w14:textId="77777777" w:rsidR="00661C6D" w:rsidRDefault="00000000">
      <w:pPr>
        <w:pStyle w:val="ListParagraph"/>
        <w:numPr>
          <w:ilvl w:val="0"/>
          <w:numId w:val="2"/>
        </w:numPr>
        <w:spacing w:after="110" w:line="310" w:lineRule="auto"/>
      </w:pPr>
      <w:r>
        <w:rPr>
          <w:color w:val="222222"/>
          <w:sz w:val="22"/>
          <w:szCs w:val="22"/>
        </w:rPr>
        <w:t>Applies during the Clinical Trials stage, specifically to the bioanalytical work behind it.</w:t>
      </w:r>
    </w:p>
    <w:p w14:paraId="67010DE4" w14:textId="77777777" w:rsidR="00661C6D" w:rsidRDefault="00000000">
      <w:pPr>
        <w:pBdr>
          <w:left w:val="single" w:sz="16" w:space="8" w:color="1E8A5F"/>
        </w:pBdr>
        <w:shd w:val="clear" w:color="auto" w:fill="E8F5EE"/>
        <w:spacing w:before="100" w:after="180"/>
        <w:ind w:left="200"/>
      </w:pPr>
      <w:r>
        <w:rPr>
          <w:i/>
          <w:iCs/>
          <w:color w:val="0F5C3C"/>
          <w:sz w:val="19"/>
          <w:szCs w:val="19"/>
        </w:rPr>
        <w:lastRenderedPageBreak/>
        <w:t>Interview tip: If you're asked to name a GxP, GCLP is often the one candidates forget — mentioning it shows you understand how these standards overlap.</w:t>
      </w:r>
    </w:p>
    <w:p w14:paraId="2E7EC8C2" w14:textId="77777777" w:rsidR="00661C6D" w:rsidRDefault="00000000">
      <w:pPr>
        <w:pageBreakBefore/>
        <w:pBdr>
          <w:bottom w:val="single" w:sz="8" w:space="4" w:color="1E8A5F"/>
        </w:pBdr>
        <w:spacing w:after="140"/>
      </w:pPr>
      <w:r>
        <w:rPr>
          <w:b/>
          <w:bCs/>
          <w:color w:val="0F5C3C"/>
          <w:sz w:val="27"/>
          <w:szCs w:val="27"/>
        </w:rPr>
        <w:lastRenderedPageBreak/>
        <w:t>Quick Reference: All Six GxP Standards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00"/>
        <w:gridCol w:w="2400"/>
        <w:gridCol w:w="2700"/>
      </w:tblGrid>
      <w:tr w:rsidR="00661C6D" w14:paraId="2C53CE78" w14:textId="77777777">
        <w:tblPrEx>
          <w:tblCellMar>
            <w:top w:w="0" w:type="dxa"/>
            <w:bottom w:w="0" w:type="dxa"/>
          </w:tblCellMar>
        </w:tblPrEx>
        <w:trPr>
          <w:tblHeader/>
        </w:trPr>
        <w:tc>
          <w:tcPr>
            <w:tcW w:w="1200" w:type="dxa"/>
            <w:shd w:val="clear" w:color="auto" w:fill="0F5C3C"/>
            <w:tcMar>
              <w:top w:w="100" w:type="dxa"/>
              <w:left w:w="150" w:type="dxa"/>
              <w:bottom w:w="100" w:type="dxa"/>
              <w:right w:w="150" w:type="dxa"/>
            </w:tcMar>
            <w:vAlign w:val="center"/>
          </w:tcPr>
          <w:p w14:paraId="50E887A7" w14:textId="77777777" w:rsidR="00661C6D" w:rsidRDefault="00000000">
            <w:r>
              <w:rPr>
                <w:b/>
                <w:bCs/>
                <w:color w:val="FFFFFF"/>
                <w:sz w:val="19"/>
                <w:szCs w:val="19"/>
              </w:rPr>
              <w:t>GxP</w:t>
            </w:r>
          </w:p>
        </w:tc>
        <w:tc>
          <w:tcPr>
            <w:tcW w:w="3300" w:type="dxa"/>
            <w:shd w:val="clear" w:color="auto" w:fill="0F5C3C"/>
            <w:tcMar>
              <w:top w:w="100" w:type="dxa"/>
              <w:left w:w="150" w:type="dxa"/>
              <w:bottom w:w="100" w:type="dxa"/>
              <w:right w:w="150" w:type="dxa"/>
            </w:tcMar>
            <w:vAlign w:val="center"/>
          </w:tcPr>
          <w:p w14:paraId="03A8EEF5" w14:textId="77777777" w:rsidR="00661C6D" w:rsidRDefault="00000000">
            <w:r>
              <w:rPr>
                <w:b/>
                <w:bCs/>
                <w:color w:val="FFFFFF"/>
                <w:sz w:val="19"/>
                <w:szCs w:val="19"/>
              </w:rPr>
              <w:t>Stands For</w:t>
            </w:r>
          </w:p>
        </w:tc>
        <w:tc>
          <w:tcPr>
            <w:tcW w:w="2400" w:type="dxa"/>
            <w:shd w:val="clear" w:color="auto" w:fill="0F5C3C"/>
            <w:tcMar>
              <w:top w:w="100" w:type="dxa"/>
              <w:left w:w="150" w:type="dxa"/>
              <w:bottom w:w="100" w:type="dxa"/>
              <w:right w:w="150" w:type="dxa"/>
            </w:tcMar>
            <w:vAlign w:val="center"/>
          </w:tcPr>
          <w:p w14:paraId="02E3E5F4" w14:textId="77777777" w:rsidR="00661C6D" w:rsidRDefault="00000000">
            <w:r>
              <w:rPr>
                <w:b/>
                <w:bCs/>
                <w:color w:val="FFFFFF"/>
                <w:sz w:val="19"/>
                <w:szCs w:val="19"/>
              </w:rPr>
              <w:t>Applies To</w:t>
            </w:r>
          </w:p>
        </w:tc>
        <w:tc>
          <w:tcPr>
            <w:tcW w:w="2700" w:type="dxa"/>
            <w:shd w:val="clear" w:color="auto" w:fill="0F5C3C"/>
            <w:tcMar>
              <w:top w:w="100" w:type="dxa"/>
              <w:left w:w="150" w:type="dxa"/>
              <w:bottom w:w="100" w:type="dxa"/>
              <w:right w:w="150" w:type="dxa"/>
            </w:tcMar>
            <w:vAlign w:val="center"/>
          </w:tcPr>
          <w:p w14:paraId="7BF976E9" w14:textId="77777777" w:rsidR="00661C6D" w:rsidRDefault="00000000">
            <w:r>
              <w:rPr>
                <w:b/>
                <w:bCs/>
                <w:color w:val="FFFFFF"/>
                <w:sz w:val="19"/>
                <w:szCs w:val="19"/>
              </w:rPr>
              <w:t>Lifecycle Stage</w:t>
            </w:r>
          </w:p>
        </w:tc>
      </w:tr>
      <w:tr w:rsidR="00661C6D" w14:paraId="3A62F989" w14:textId="77777777">
        <w:tblPrEx>
          <w:tblCellMar>
            <w:top w:w="0" w:type="dxa"/>
            <w:bottom w:w="0" w:type="dxa"/>
          </w:tblCellMar>
        </w:tblPrEx>
        <w:tc>
          <w:tcPr>
            <w:tcW w:w="1200" w:type="dxa"/>
            <w:shd w:val="clear" w:color="auto" w:fill="FFFFFF"/>
            <w:tcMar>
              <w:top w:w="100" w:type="dxa"/>
              <w:left w:w="150" w:type="dxa"/>
              <w:bottom w:w="100" w:type="dxa"/>
              <w:right w:w="150" w:type="dxa"/>
            </w:tcMar>
            <w:vAlign w:val="center"/>
          </w:tcPr>
          <w:p w14:paraId="2624ABE2" w14:textId="77777777" w:rsidR="00661C6D" w:rsidRDefault="00000000">
            <w:r>
              <w:rPr>
                <w:color w:val="222222"/>
                <w:sz w:val="19"/>
                <w:szCs w:val="19"/>
              </w:rPr>
              <w:t>GMP</w:t>
            </w:r>
          </w:p>
        </w:tc>
        <w:tc>
          <w:tcPr>
            <w:tcW w:w="3300" w:type="dxa"/>
            <w:shd w:val="clear" w:color="auto" w:fill="FFFFFF"/>
            <w:tcMar>
              <w:top w:w="100" w:type="dxa"/>
              <w:left w:w="150" w:type="dxa"/>
              <w:bottom w:w="100" w:type="dxa"/>
              <w:right w:w="150" w:type="dxa"/>
            </w:tcMar>
            <w:vAlign w:val="center"/>
          </w:tcPr>
          <w:p w14:paraId="67E2D238" w14:textId="77777777" w:rsidR="00661C6D" w:rsidRDefault="00000000">
            <w:r>
              <w:rPr>
                <w:color w:val="222222"/>
                <w:sz w:val="19"/>
                <w:szCs w:val="19"/>
              </w:rPr>
              <w:t>Good Manufacturing Practice</w:t>
            </w:r>
          </w:p>
        </w:tc>
        <w:tc>
          <w:tcPr>
            <w:tcW w:w="2400" w:type="dxa"/>
            <w:shd w:val="clear" w:color="auto" w:fill="FFFFFF"/>
            <w:tcMar>
              <w:top w:w="100" w:type="dxa"/>
              <w:left w:w="150" w:type="dxa"/>
              <w:bottom w:w="100" w:type="dxa"/>
              <w:right w:w="150" w:type="dxa"/>
            </w:tcMar>
            <w:vAlign w:val="center"/>
          </w:tcPr>
          <w:p w14:paraId="03A79560" w14:textId="77777777" w:rsidR="00661C6D" w:rsidRDefault="00000000">
            <w:r>
              <w:rPr>
                <w:color w:val="222222"/>
                <w:sz w:val="19"/>
                <w:szCs w:val="19"/>
              </w:rPr>
              <w:t>Manufacturing</w:t>
            </w:r>
          </w:p>
        </w:tc>
        <w:tc>
          <w:tcPr>
            <w:tcW w:w="2700" w:type="dxa"/>
            <w:shd w:val="clear" w:color="auto" w:fill="FFFFFF"/>
            <w:tcMar>
              <w:top w:w="100" w:type="dxa"/>
              <w:left w:w="150" w:type="dxa"/>
              <w:bottom w:w="100" w:type="dxa"/>
              <w:right w:w="150" w:type="dxa"/>
            </w:tcMar>
            <w:vAlign w:val="center"/>
          </w:tcPr>
          <w:p w14:paraId="4F1A2DFC" w14:textId="77777777" w:rsidR="00661C6D" w:rsidRDefault="00000000">
            <w:r>
              <w:rPr>
                <w:color w:val="222222"/>
                <w:sz w:val="19"/>
                <w:szCs w:val="19"/>
              </w:rPr>
              <w:t>Commercialisation</w:t>
            </w:r>
          </w:p>
        </w:tc>
      </w:tr>
      <w:tr w:rsidR="00661C6D" w14:paraId="166E3507" w14:textId="77777777">
        <w:tblPrEx>
          <w:tblCellMar>
            <w:top w:w="0" w:type="dxa"/>
            <w:bottom w:w="0" w:type="dxa"/>
          </w:tblCellMar>
        </w:tblPrEx>
        <w:tc>
          <w:tcPr>
            <w:tcW w:w="1200" w:type="dxa"/>
            <w:shd w:val="clear" w:color="auto" w:fill="F5FAF7"/>
            <w:tcMar>
              <w:top w:w="100" w:type="dxa"/>
              <w:left w:w="150" w:type="dxa"/>
              <w:bottom w:w="100" w:type="dxa"/>
              <w:right w:w="150" w:type="dxa"/>
            </w:tcMar>
            <w:vAlign w:val="center"/>
          </w:tcPr>
          <w:p w14:paraId="020BC036" w14:textId="77777777" w:rsidR="00661C6D" w:rsidRDefault="00000000">
            <w:r>
              <w:rPr>
                <w:color w:val="222222"/>
                <w:sz w:val="19"/>
                <w:szCs w:val="19"/>
              </w:rPr>
              <w:t>GCP</w:t>
            </w:r>
          </w:p>
        </w:tc>
        <w:tc>
          <w:tcPr>
            <w:tcW w:w="3300" w:type="dxa"/>
            <w:shd w:val="clear" w:color="auto" w:fill="F5FAF7"/>
            <w:tcMar>
              <w:top w:w="100" w:type="dxa"/>
              <w:left w:w="150" w:type="dxa"/>
              <w:bottom w:w="100" w:type="dxa"/>
              <w:right w:w="150" w:type="dxa"/>
            </w:tcMar>
            <w:vAlign w:val="center"/>
          </w:tcPr>
          <w:p w14:paraId="17D97704" w14:textId="77777777" w:rsidR="00661C6D" w:rsidRDefault="00000000">
            <w:r>
              <w:rPr>
                <w:color w:val="222222"/>
                <w:sz w:val="19"/>
                <w:szCs w:val="19"/>
              </w:rPr>
              <w:t>Good Clinical Practice</w:t>
            </w:r>
          </w:p>
        </w:tc>
        <w:tc>
          <w:tcPr>
            <w:tcW w:w="2400" w:type="dxa"/>
            <w:shd w:val="clear" w:color="auto" w:fill="F5FAF7"/>
            <w:tcMar>
              <w:top w:w="100" w:type="dxa"/>
              <w:left w:w="150" w:type="dxa"/>
              <w:bottom w:w="100" w:type="dxa"/>
              <w:right w:w="150" w:type="dxa"/>
            </w:tcMar>
            <w:vAlign w:val="center"/>
          </w:tcPr>
          <w:p w14:paraId="0CB78C0E" w14:textId="77777777" w:rsidR="00661C6D" w:rsidRDefault="00000000">
            <w:r>
              <w:rPr>
                <w:color w:val="222222"/>
                <w:sz w:val="19"/>
                <w:szCs w:val="19"/>
              </w:rPr>
              <w:t>Clinical trials</w:t>
            </w:r>
          </w:p>
        </w:tc>
        <w:tc>
          <w:tcPr>
            <w:tcW w:w="2700" w:type="dxa"/>
            <w:shd w:val="clear" w:color="auto" w:fill="F5FAF7"/>
            <w:tcMar>
              <w:top w:w="100" w:type="dxa"/>
              <w:left w:w="150" w:type="dxa"/>
              <w:bottom w:w="100" w:type="dxa"/>
              <w:right w:w="150" w:type="dxa"/>
            </w:tcMar>
            <w:vAlign w:val="center"/>
          </w:tcPr>
          <w:p w14:paraId="7884B705" w14:textId="77777777" w:rsidR="00661C6D" w:rsidRDefault="00000000">
            <w:r>
              <w:rPr>
                <w:color w:val="222222"/>
                <w:sz w:val="19"/>
                <w:szCs w:val="19"/>
              </w:rPr>
              <w:t>Clinical Trials</w:t>
            </w:r>
          </w:p>
        </w:tc>
      </w:tr>
      <w:tr w:rsidR="00661C6D" w14:paraId="5DD5135B" w14:textId="77777777">
        <w:tblPrEx>
          <w:tblCellMar>
            <w:top w:w="0" w:type="dxa"/>
            <w:bottom w:w="0" w:type="dxa"/>
          </w:tblCellMar>
        </w:tblPrEx>
        <w:tc>
          <w:tcPr>
            <w:tcW w:w="1200" w:type="dxa"/>
            <w:shd w:val="clear" w:color="auto" w:fill="FFFFFF"/>
            <w:tcMar>
              <w:top w:w="100" w:type="dxa"/>
              <w:left w:w="150" w:type="dxa"/>
              <w:bottom w:w="100" w:type="dxa"/>
              <w:right w:w="150" w:type="dxa"/>
            </w:tcMar>
            <w:vAlign w:val="center"/>
          </w:tcPr>
          <w:p w14:paraId="1CF50AE9" w14:textId="77777777" w:rsidR="00661C6D" w:rsidRDefault="00000000">
            <w:r>
              <w:rPr>
                <w:color w:val="222222"/>
                <w:sz w:val="19"/>
                <w:szCs w:val="19"/>
              </w:rPr>
              <w:t>GLP</w:t>
            </w:r>
          </w:p>
        </w:tc>
        <w:tc>
          <w:tcPr>
            <w:tcW w:w="3300" w:type="dxa"/>
            <w:shd w:val="clear" w:color="auto" w:fill="FFFFFF"/>
            <w:tcMar>
              <w:top w:w="100" w:type="dxa"/>
              <w:left w:w="150" w:type="dxa"/>
              <w:bottom w:w="100" w:type="dxa"/>
              <w:right w:w="150" w:type="dxa"/>
            </w:tcMar>
            <w:vAlign w:val="center"/>
          </w:tcPr>
          <w:p w14:paraId="7FB05D6A" w14:textId="77777777" w:rsidR="00661C6D" w:rsidRDefault="00000000">
            <w:r>
              <w:rPr>
                <w:color w:val="222222"/>
                <w:sz w:val="19"/>
                <w:szCs w:val="19"/>
              </w:rPr>
              <w:t>Good Laboratory Practice</w:t>
            </w:r>
          </w:p>
        </w:tc>
        <w:tc>
          <w:tcPr>
            <w:tcW w:w="2400" w:type="dxa"/>
            <w:shd w:val="clear" w:color="auto" w:fill="FFFFFF"/>
            <w:tcMar>
              <w:top w:w="100" w:type="dxa"/>
              <w:left w:w="150" w:type="dxa"/>
              <w:bottom w:w="100" w:type="dxa"/>
              <w:right w:w="150" w:type="dxa"/>
            </w:tcMar>
            <w:vAlign w:val="center"/>
          </w:tcPr>
          <w:p w14:paraId="2BFCA45E" w14:textId="77777777" w:rsidR="00661C6D" w:rsidRDefault="00000000">
            <w:r>
              <w:rPr>
                <w:color w:val="222222"/>
                <w:sz w:val="19"/>
                <w:szCs w:val="19"/>
              </w:rPr>
              <w:t>Preclinical labs</w:t>
            </w:r>
          </w:p>
        </w:tc>
        <w:tc>
          <w:tcPr>
            <w:tcW w:w="2700" w:type="dxa"/>
            <w:shd w:val="clear" w:color="auto" w:fill="FFFFFF"/>
            <w:tcMar>
              <w:top w:w="100" w:type="dxa"/>
              <w:left w:w="150" w:type="dxa"/>
              <w:bottom w:w="100" w:type="dxa"/>
              <w:right w:w="150" w:type="dxa"/>
            </w:tcMar>
            <w:vAlign w:val="center"/>
          </w:tcPr>
          <w:p w14:paraId="163A838A" w14:textId="77777777" w:rsidR="00661C6D" w:rsidRDefault="00000000">
            <w:r>
              <w:rPr>
                <w:color w:val="222222"/>
                <w:sz w:val="19"/>
                <w:szCs w:val="19"/>
              </w:rPr>
              <w:t>Preclinical</w:t>
            </w:r>
          </w:p>
        </w:tc>
      </w:tr>
      <w:tr w:rsidR="00661C6D" w14:paraId="2EBBFB07" w14:textId="77777777">
        <w:tblPrEx>
          <w:tblCellMar>
            <w:top w:w="0" w:type="dxa"/>
            <w:bottom w:w="0" w:type="dxa"/>
          </w:tblCellMar>
        </w:tblPrEx>
        <w:tc>
          <w:tcPr>
            <w:tcW w:w="1200" w:type="dxa"/>
            <w:shd w:val="clear" w:color="auto" w:fill="F5FAF7"/>
            <w:tcMar>
              <w:top w:w="100" w:type="dxa"/>
              <w:left w:w="150" w:type="dxa"/>
              <w:bottom w:w="100" w:type="dxa"/>
              <w:right w:w="150" w:type="dxa"/>
            </w:tcMar>
            <w:vAlign w:val="center"/>
          </w:tcPr>
          <w:p w14:paraId="52547C2C" w14:textId="77777777" w:rsidR="00661C6D" w:rsidRDefault="00000000">
            <w:r>
              <w:rPr>
                <w:color w:val="222222"/>
                <w:sz w:val="19"/>
                <w:szCs w:val="19"/>
              </w:rPr>
              <w:t>GDP</w:t>
            </w:r>
          </w:p>
        </w:tc>
        <w:tc>
          <w:tcPr>
            <w:tcW w:w="3300" w:type="dxa"/>
            <w:shd w:val="clear" w:color="auto" w:fill="F5FAF7"/>
            <w:tcMar>
              <w:top w:w="100" w:type="dxa"/>
              <w:left w:w="150" w:type="dxa"/>
              <w:bottom w:w="100" w:type="dxa"/>
              <w:right w:w="150" w:type="dxa"/>
            </w:tcMar>
            <w:vAlign w:val="center"/>
          </w:tcPr>
          <w:p w14:paraId="0E2C9654" w14:textId="77777777" w:rsidR="00661C6D" w:rsidRDefault="00000000">
            <w:r>
              <w:rPr>
                <w:color w:val="222222"/>
                <w:sz w:val="19"/>
                <w:szCs w:val="19"/>
              </w:rPr>
              <w:t>Good Distribution Practice</w:t>
            </w:r>
          </w:p>
        </w:tc>
        <w:tc>
          <w:tcPr>
            <w:tcW w:w="2400" w:type="dxa"/>
            <w:shd w:val="clear" w:color="auto" w:fill="F5FAF7"/>
            <w:tcMar>
              <w:top w:w="100" w:type="dxa"/>
              <w:left w:w="150" w:type="dxa"/>
              <w:bottom w:w="100" w:type="dxa"/>
              <w:right w:w="150" w:type="dxa"/>
            </w:tcMar>
            <w:vAlign w:val="center"/>
          </w:tcPr>
          <w:p w14:paraId="5F8FCF08" w14:textId="77777777" w:rsidR="00661C6D" w:rsidRDefault="00000000">
            <w:r>
              <w:rPr>
                <w:color w:val="222222"/>
                <w:sz w:val="19"/>
                <w:szCs w:val="19"/>
              </w:rPr>
              <w:t>Storage &amp; transport</w:t>
            </w:r>
          </w:p>
        </w:tc>
        <w:tc>
          <w:tcPr>
            <w:tcW w:w="2700" w:type="dxa"/>
            <w:shd w:val="clear" w:color="auto" w:fill="F5FAF7"/>
            <w:tcMar>
              <w:top w:w="100" w:type="dxa"/>
              <w:left w:w="150" w:type="dxa"/>
              <w:bottom w:w="100" w:type="dxa"/>
              <w:right w:w="150" w:type="dxa"/>
            </w:tcMar>
            <w:vAlign w:val="center"/>
          </w:tcPr>
          <w:p w14:paraId="2B0660CA" w14:textId="77777777" w:rsidR="00661C6D" w:rsidRDefault="00000000">
            <w:r>
              <w:rPr>
                <w:color w:val="222222"/>
                <w:sz w:val="19"/>
                <w:szCs w:val="19"/>
              </w:rPr>
              <w:t>Commercialisation</w:t>
            </w:r>
          </w:p>
        </w:tc>
      </w:tr>
      <w:tr w:rsidR="00661C6D" w14:paraId="3A7ADFE8" w14:textId="77777777">
        <w:tblPrEx>
          <w:tblCellMar>
            <w:top w:w="0" w:type="dxa"/>
            <w:bottom w:w="0" w:type="dxa"/>
          </w:tblCellMar>
        </w:tblPrEx>
        <w:tc>
          <w:tcPr>
            <w:tcW w:w="1200" w:type="dxa"/>
            <w:shd w:val="clear" w:color="auto" w:fill="FFFFFF"/>
            <w:tcMar>
              <w:top w:w="100" w:type="dxa"/>
              <w:left w:w="150" w:type="dxa"/>
              <w:bottom w:w="100" w:type="dxa"/>
              <w:right w:w="150" w:type="dxa"/>
            </w:tcMar>
            <w:vAlign w:val="center"/>
          </w:tcPr>
          <w:p w14:paraId="7C9A069E" w14:textId="77777777" w:rsidR="00661C6D" w:rsidRDefault="00000000">
            <w:r>
              <w:rPr>
                <w:color w:val="222222"/>
                <w:sz w:val="19"/>
                <w:szCs w:val="19"/>
              </w:rPr>
              <w:t>GVP</w:t>
            </w:r>
          </w:p>
        </w:tc>
        <w:tc>
          <w:tcPr>
            <w:tcW w:w="3300" w:type="dxa"/>
            <w:shd w:val="clear" w:color="auto" w:fill="FFFFFF"/>
            <w:tcMar>
              <w:top w:w="100" w:type="dxa"/>
              <w:left w:w="150" w:type="dxa"/>
              <w:bottom w:w="100" w:type="dxa"/>
              <w:right w:w="150" w:type="dxa"/>
            </w:tcMar>
            <w:vAlign w:val="center"/>
          </w:tcPr>
          <w:p w14:paraId="3BFCDBC0" w14:textId="77777777" w:rsidR="00661C6D" w:rsidRDefault="00000000">
            <w:r>
              <w:rPr>
                <w:color w:val="222222"/>
                <w:sz w:val="19"/>
                <w:szCs w:val="19"/>
              </w:rPr>
              <w:t>Good Pharmacovigilance Practice</w:t>
            </w:r>
          </w:p>
        </w:tc>
        <w:tc>
          <w:tcPr>
            <w:tcW w:w="2400" w:type="dxa"/>
            <w:shd w:val="clear" w:color="auto" w:fill="FFFFFF"/>
            <w:tcMar>
              <w:top w:w="100" w:type="dxa"/>
              <w:left w:w="150" w:type="dxa"/>
              <w:bottom w:w="100" w:type="dxa"/>
              <w:right w:w="150" w:type="dxa"/>
            </w:tcMar>
            <w:vAlign w:val="center"/>
          </w:tcPr>
          <w:p w14:paraId="6E87346E" w14:textId="77777777" w:rsidR="00661C6D" w:rsidRDefault="00000000">
            <w:r>
              <w:rPr>
                <w:color w:val="222222"/>
                <w:sz w:val="19"/>
                <w:szCs w:val="19"/>
              </w:rPr>
              <w:t>Post-market safety</w:t>
            </w:r>
          </w:p>
        </w:tc>
        <w:tc>
          <w:tcPr>
            <w:tcW w:w="2700" w:type="dxa"/>
            <w:shd w:val="clear" w:color="auto" w:fill="FFFFFF"/>
            <w:tcMar>
              <w:top w:w="100" w:type="dxa"/>
              <w:left w:w="150" w:type="dxa"/>
              <w:bottom w:w="100" w:type="dxa"/>
              <w:right w:w="150" w:type="dxa"/>
            </w:tcMar>
            <w:vAlign w:val="center"/>
          </w:tcPr>
          <w:p w14:paraId="53F35E70" w14:textId="77777777" w:rsidR="00661C6D" w:rsidRDefault="00000000">
            <w:r>
              <w:rPr>
                <w:color w:val="222222"/>
                <w:sz w:val="19"/>
                <w:szCs w:val="19"/>
              </w:rPr>
              <w:t>Post-Market Surveillance</w:t>
            </w:r>
          </w:p>
        </w:tc>
      </w:tr>
      <w:tr w:rsidR="00661C6D" w14:paraId="7BAE48CB" w14:textId="77777777">
        <w:tblPrEx>
          <w:tblCellMar>
            <w:top w:w="0" w:type="dxa"/>
            <w:bottom w:w="0" w:type="dxa"/>
          </w:tblCellMar>
        </w:tblPrEx>
        <w:tc>
          <w:tcPr>
            <w:tcW w:w="1200" w:type="dxa"/>
            <w:shd w:val="clear" w:color="auto" w:fill="F5FAF7"/>
            <w:tcMar>
              <w:top w:w="100" w:type="dxa"/>
              <w:left w:w="150" w:type="dxa"/>
              <w:bottom w:w="100" w:type="dxa"/>
              <w:right w:w="150" w:type="dxa"/>
            </w:tcMar>
            <w:vAlign w:val="center"/>
          </w:tcPr>
          <w:p w14:paraId="16EC8C5E" w14:textId="77777777" w:rsidR="00661C6D" w:rsidRDefault="00000000">
            <w:r>
              <w:rPr>
                <w:color w:val="222222"/>
                <w:sz w:val="19"/>
                <w:szCs w:val="19"/>
              </w:rPr>
              <w:t>GCLP</w:t>
            </w:r>
          </w:p>
        </w:tc>
        <w:tc>
          <w:tcPr>
            <w:tcW w:w="3300" w:type="dxa"/>
            <w:shd w:val="clear" w:color="auto" w:fill="F5FAF7"/>
            <w:tcMar>
              <w:top w:w="100" w:type="dxa"/>
              <w:left w:w="150" w:type="dxa"/>
              <w:bottom w:w="100" w:type="dxa"/>
              <w:right w:w="150" w:type="dxa"/>
            </w:tcMar>
            <w:vAlign w:val="center"/>
          </w:tcPr>
          <w:p w14:paraId="0BD1B7C3" w14:textId="77777777" w:rsidR="00661C6D" w:rsidRDefault="00000000">
            <w:r>
              <w:rPr>
                <w:color w:val="222222"/>
                <w:sz w:val="19"/>
                <w:szCs w:val="19"/>
              </w:rPr>
              <w:t>Good Clinical Laboratory Practice</w:t>
            </w:r>
          </w:p>
        </w:tc>
        <w:tc>
          <w:tcPr>
            <w:tcW w:w="2400" w:type="dxa"/>
            <w:shd w:val="clear" w:color="auto" w:fill="F5FAF7"/>
            <w:tcMar>
              <w:top w:w="100" w:type="dxa"/>
              <w:left w:w="150" w:type="dxa"/>
              <w:bottom w:w="100" w:type="dxa"/>
              <w:right w:w="150" w:type="dxa"/>
            </w:tcMar>
            <w:vAlign w:val="center"/>
          </w:tcPr>
          <w:p w14:paraId="07835D81" w14:textId="77777777" w:rsidR="00661C6D" w:rsidRDefault="00000000">
            <w:r>
              <w:rPr>
                <w:color w:val="222222"/>
                <w:sz w:val="19"/>
                <w:szCs w:val="19"/>
              </w:rPr>
              <w:t>Clinical trial labs</w:t>
            </w:r>
          </w:p>
        </w:tc>
        <w:tc>
          <w:tcPr>
            <w:tcW w:w="2700" w:type="dxa"/>
            <w:shd w:val="clear" w:color="auto" w:fill="F5FAF7"/>
            <w:tcMar>
              <w:top w:w="100" w:type="dxa"/>
              <w:left w:w="150" w:type="dxa"/>
              <w:bottom w:w="100" w:type="dxa"/>
              <w:right w:w="150" w:type="dxa"/>
            </w:tcMar>
            <w:vAlign w:val="center"/>
          </w:tcPr>
          <w:p w14:paraId="55A6D10A" w14:textId="77777777" w:rsidR="00661C6D" w:rsidRDefault="00000000">
            <w:r>
              <w:rPr>
                <w:color w:val="222222"/>
                <w:sz w:val="19"/>
                <w:szCs w:val="19"/>
              </w:rPr>
              <w:t>Clinical Trials</w:t>
            </w:r>
          </w:p>
        </w:tc>
      </w:tr>
    </w:tbl>
    <w:p w14:paraId="682B7D9E" w14:textId="77777777" w:rsidR="00661C6D" w:rsidRDefault="00661C6D">
      <w:pPr>
        <w:spacing w:after="300"/>
      </w:pPr>
    </w:p>
    <w:p w14:paraId="677F0990" w14:textId="77777777" w:rsidR="00661C6D" w:rsidRDefault="00000000">
      <w:pPr>
        <w:pBdr>
          <w:bottom w:val="single" w:sz="8" w:space="4" w:color="1E8A5F"/>
        </w:pBdr>
        <w:spacing w:before="200" w:after="140"/>
      </w:pPr>
      <w:r>
        <w:rPr>
          <w:b/>
          <w:bCs/>
          <w:color w:val="0F5C3C"/>
          <w:sz w:val="27"/>
          <w:szCs w:val="27"/>
        </w:rPr>
        <w:t>Why This Matters in Interviews</w:t>
      </w:r>
    </w:p>
    <w:p w14:paraId="0F9EBA20" w14:textId="77777777" w:rsidR="00661C6D" w:rsidRDefault="00000000">
      <w:pPr>
        <w:spacing w:after="180" w:line="330" w:lineRule="auto"/>
      </w:pPr>
      <w:r>
        <w:rPr>
          <w:color w:val="222222"/>
          <w:sz w:val="22"/>
          <w:szCs w:val="22"/>
        </w:rPr>
        <w:t>GxP terms come up constantly in pharma interviews because they're the shared language of the industry — whichever department you join, you'll be expected to know which GxP standard governs your work. Being able to explain what each one covers, in plain language, signals that you understand how the industry actually operates, not just the textbook definitions.</w:t>
      </w:r>
    </w:p>
    <w:p w14:paraId="575704D0" w14:textId="77777777" w:rsidR="00661C6D" w:rsidRDefault="00000000">
      <w:pPr>
        <w:pBdr>
          <w:left w:val="single" w:sz="16" w:space="8" w:color="1E8A5F"/>
        </w:pBdr>
        <w:shd w:val="clear" w:color="auto" w:fill="E8F5EE"/>
        <w:spacing w:before="100" w:after="180"/>
        <w:ind w:left="200"/>
      </w:pPr>
      <w:r>
        <w:rPr>
          <w:i/>
          <w:iCs/>
          <w:color w:val="0F5C3C"/>
          <w:sz w:val="19"/>
          <w:szCs w:val="19"/>
        </w:rPr>
        <w:t>Reflect: Which GxP standard is most relevant to the career path you're interested in — and can you explain why in one sentence?</w:t>
      </w:r>
    </w:p>
    <w:sectPr w:rsidR="00661C6D">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5191F"/>
    <w:multiLevelType w:val="hybridMultilevel"/>
    <w:tmpl w:val="8D1CED90"/>
    <w:lvl w:ilvl="0" w:tplc="4366F1B8">
      <w:start w:val="1"/>
      <w:numFmt w:val="bullet"/>
      <w:lvlText w:val="●"/>
      <w:lvlJc w:val="left"/>
      <w:pPr>
        <w:ind w:left="720" w:hanging="360"/>
      </w:pPr>
    </w:lvl>
    <w:lvl w:ilvl="1" w:tplc="B8DA0BE0">
      <w:start w:val="1"/>
      <w:numFmt w:val="bullet"/>
      <w:lvlText w:val="○"/>
      <w:lvlJc w:val="left"/>
      <w:pPr>
        <w:ind w:left="1440" w:hanging="360"/>
      </w:pPr>
    </w:lvl>
    <w:lvl w:ilvl="2" w:tplc="DBF4E45C">
      <w:start w:val="1"/>
      <w:numFmt w:val="bullet"/>
      <w:lvlText w:val="■"/>
      <w:lvlJc w:val="left"/>
      <w:pPr>
        <w:ind w:left="2160" w:hanging="360"/>
      </w:pPr>
    </w:lvl>
    <w:lvl w:ilvl="3" w:tplc="5B30B15C">
      <w:start w:val="1"/>
      <w:numFmt w:val="bullet"/>
      <w:lvlText w:val="●"/>
      <w:lvlJc w:val="left"/>
      <w:pPr>
        <w:ind w:left="2880" w:hanging="360"/>
      </w:pPr>
    </w:lvl>
    <w:lvl w:ilvl="4" w:tplc="A34E61DC">
      <w:start w:val="1"/>
      <w:numFmt w:val="bullet"/>
      <w:lvlText w:val="○"/>
      <w:lvlJc w:val="left"/>
      <w:pPr>
        <w:ind w:left="3600" w:hanging="360"/>
      </w:pPr>
    </w:lvl>
    <w:lvl w:ilvl="5" w:tplc="987C68A6">
      <w:start w:val="1"/>
      <w:numFmt w:val="bullet"/>
      <w:lvlText w:val="■"/>
      <w:lvlJc w:val="left"/>
      <w:pPr>
        <w:ind w:left="4320" w:hanging="360"/>
      </w:pPr>
    </w:lvl>
    <w:lvl w:ilvl="6" w:tplc="48DEE2F0">
      <w:start w:val="1"/>
      <w:numFmt w:val="bullet"/>
      <w:lvlText w:val="●"/>
      <w:lvlJc w:val="left"/>
      <w:pPr>
        <w:ind w:left="5040" w:hanging="360"/>
      </w:pPr>
    </w:lvl>
    <w:lvl w:ilvl="7" w:tplc="B3204E7E">
      <w:start w:val="1"/>
      <w:numFmt w:val="bullet"/>
      <w:lvlText w:val="●"/>
      <w:lvlJc w:val="left"/>
      <w:pPr>
        <w:ind w:left="5760" w:hanging="360"/>
      </w:pPr>
    </w:lvl>
    <w:lvl w:ilvl="8" w:tplc="CE32EE98">
      <w:start w:val="1"/>
      <w:numFmt w:val="bullet"/>
      <w:lvlText w:val="●"/>
      <w:lvlJc w:val="left"/>
      <w:pPr>
        <w:ind w:left="6480" w:hanging="360"/>
      </w:pPr>
    </w:lvl>
  </w:abstractNum>
  <w:abstractNum w:abstractNumId="1" w15:restartNumberingAfterBreak="0">
    <w:nsid w:val="6FD21D88"/>
    <w:multiLevelType w:val="hybridMultilevel"/>
    <w:tmpl w:val="65A4C630"/>
    <w:lvl w:ilvl="0" w:tplc="C3484C32">
      <w:start w:val="1"/>
      <w:numFmt w:val="bullet"/>
      <w:lvlText w:val="•"/>
      <w:lvlJc w:val="left"/>
      <w:pPr>
        <w:ind w:left="504" w:hanging="288"/>
      </w:pPr>
    </w:lvl>
    <w:lvl w:ilvl="1" w:tplc="AA7CC77A">
      <w:numFmt w:val="decimal"/>
      <w:lvlText w:val=""/>
      <w:lvlJc w:val="left"/>
    </w:lvl>
    <w:lvl w:ilvl="2" w:tplc="3D0413E6">
      <w:numFmt w:val="decimal"/>
      <w:lvlText w:val=""/>
      <w:lvlJc w:val="left"/>
    </w:lvl>
    <w:lvl w:ilvl="3" w:tplc="DB4EE1FA">
      <w:numFmt w:val="decimal"/>
      <w:lvlText w:val=""/>
      <w:lvlJc w:val="left"/>
    </w:lvl>
    <w:lvl w:ilvl="4" w:tplc="DCA647CE">
      <w:numFmt w:val="decimal"/>
      <w:lvlText w:val=""/>
      <w:lvlJc w:val="left"/>
    </w:lvl>
    <w:lvl w:ilvl="5" w:tplc="1E2269F8">
      <w:numFmt w:val="decimal"/>
      <w:lvlText w:val=""/>
      <w:lvlJc w:val="left"/>
    </w:lvl>
    <w:lvl w:ilvl="6" w:tplc="BF84A2DE">
      <w:numFmt w:val="decimal"/>
      <w:lvlText w:val=""/>
      <w:lvlJc w:val="left"/>
    </w:lvl>
    <w:lvl w:ilvl="7" w:tplc="BA92EF28">
      <w:numFmt w:val="decimal"/>
      <w:lvlText w:val=""/>
      <w:lvlJc w:val="left"/>
    </w:lvl>
    <w:lvl w:ilvl="8" w:tplc="85822B76">
      <w:numFmt w:val="decimal"/>
      <w:lvlText w:val=""/>
      <w:lvlJc w:val="left"/>
    </w:lvl>
  </w:abstractNum>
  <w:num w:numId="1" w16cid:durableId="1058045710">
    <w:abstractNumId w:val="0"/>
    <w:lvlOverride w:ilvl="0">
      <w:startOverride w:val="1"/>
    </w:lvlOverride>
  </w:num>
  <w:num w:numId="2" w16cid:durableId="19962564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C6D"/>
    <w:rsid w:val="003C7D15"/>
    <w:rsid w:val="00661C6D"/>
    <w:rsid w:val="00D14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0AEE"/>
  <w15:docId w15:val="{3FECB07B-2A4A-49E3-9BC1-B4FB79BE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f3522f-8c42-44b0-bea3-7f162a60ea50}" enabled="1" method="Standard" siteId="{63982aff-fb6c-4c22-973b-70e4acfb63e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780</Words>
  <Characters>4452</Characters>
  <Application>Microsoft Office Word</Application>
  <DocSecurity>0</DocSecurity>
  <Lines>37</Lines>
  <Paragraphs>10</Paragraphs>
  <ScaleCrop>false</ScaleCrop>
  <Company>GlaxoSmithKline</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Panuganti Hanumantha Rao</cp:lastModifiedBy>
  <cp:revision>2</cp:revision>
  <dcterms:created xsi:type="dcterms:W3CDTF">2026-08-04T05:16:00Z</dcterms:created>
  <dcterms:modified xsi:type="dcterms:W3CDTF">2026-08-04T05:21:00Z</dcterms:modified>
</cp:coreProperties>
</file>