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A6D10" w14:textId="77777777" w:rsidR="00132472" w:rsidRDefault="00000000">
      <w:pPr>
        <w:spacing w:before="400"/>
        <w:jc w:val="center"/>
      </w:pPr>
      <w:r>
        <w:rPr>
          <w:noProof/>
        </w:rPr>
        <w:drawing>
          <wp:inline distT="0" distB="0" distL="0" distR="0" wp14:anchorId="460F61A6" wp14:editId="4C18753A">
            <wp:extent cx="1047750" cy="694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b="33717"/>
                    <a:stretch>
                      <a:fillRect/>
                    </a:stretch>
                  </pic:blipFill>
                  <pic:spPr bwMode="auto">
                    <a:xfrm>
                      <a:off x="0" y="0"/>
                      <a:ext cx="1047750" cy="694481"/>
                    </a:xfrm>
                    <a:prstGeom prst="rect">
                      <a:avLst/>
                    </a:prstGeom>
                    <a:ln>
                      <a:noFill/>
                    </a:ln>
                    <a:extLst>
                      <a:ext uri="{53640926-AAD7-44D8-BBD7-CCE9431645EC}">
                        <a14:shadowObscured xmlns:a14="http://schemas.microsoft.com/office/drawing/2010/main"/>
                      </a:ext>
                    </a:extLst>
                  </pic:spPr>
                </pic:pic>
              </a:graphicData>
            </a:graphic>
          </wp:inline>
        </w:drawing>
      </w:r>
    </w:p>
    <w:p w14:paraId="0336E22C" w14:textId="77777777" w:rsidR="00132472" w:rsidRDefault="00000000">
      <w:pPr>
        <w:spacing w:before="260" w:after="80"/>
        <w:jc w:val="center"/>
      </w:pPr>
      <w:r>
        <w:rPr>
          <w:b/>
          <w:bCs/>
          <w:color w:val="1E8A5F"/>
          <w:spacing w:val="20"/>
          <w:sz w:val="24"/>
          <w:szCs w:val="24"/>
        </w:rPr>
        <w:t>PHARMABRIDGE ACADEMY</w:t>
      </w:r>
    </w:p>
    <w:p w14:paraId="6B8F5FEA" w14:textId="77777777" w:rsidR="00132472" w:rsidRDefault="00000000">
      <w:pPr>
        <w:spacing w:after="360"/>
        <w:jc w:val="center"/>
      </w:pPr>
      <w:r>
        <w:rPr>
          <w:i/>
          <w:iCs/>
          <w:color w:val="6B6B6B"/>
          <w:sz w:val="18"/>
          <w:szCs w:val="18"/>
        </w:rPr>
        <w:t>Bridging Pharmacy Education with Industry Excellence</w:t>
      </w:r>
    </w:p>
    <w:p w14:paraId="765F7B1C" w14:textId="77777777" w:rsidR="00132472" w:rsidRDefault="00000000">
      <w:pPr>
        <w:spacing w:before="200" w:after="160"/>
        <w:jc w:val="center"/>
      </w:pPr>
      <w:r>
        <w:rPr>
          <w:b/>
          <w:bCs/>
          <w:color w:val="0F5C3C"/>
          <w:sz w:val="38"/>
          <w:szCs w:val="38"/>
        </w:rPr>
        <w:t>Data &amp; Technology in Pharma</w:t>
      </w:r>
    </w:p>
    <w:p w14:paraId="2EE69025" w14:textId="77777777" w:rsidR="00132472" w:rsidRDefault="00000000">
      <w:pPr>
        <w:spacing w:before="120" w:after="200"/>
        <w:jc w:val="center"/>
      </w:pPr>
      <w:r>
        <w:rPr>
          <w:noProof/>
        </w:rPr>
        <w:drawing>
          <wp:inline distT="0" distB="0" distL="0" distR="0" wp14:anchorId="4C8BFE31" wp14:editId="31A37911">
            <wp:extent cx="5905500" cy="2438400"/>
            <wp:effectExtent l="0" t="0" r="0" b="0"/>
            <wp:docPr id="1154609676" name="Picture 1154609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438400"/>
                    </a:xfrm>
                    <a:prstGeom prst="rect">
                      <a:avLst/>
                    </a:prstGeom>
                  </pic:spPr>
                </pic:pic>
              </a:graphicData>
            </a:graphic>
          </wp:inline>
        </w:drawing>
      </w:r>
    </w:p>
    <w:p w14:paraId="5661B331" w14:textId="77777777" w:rsidR="00132472" w:rsidRDefault="00132472">
      <w:pPr>
        <w:sectPr w:rsidR="00132472">
          <w:pgSz w:w="12240" w:h="15840"/>
          <w:pgMar w:top="1000" w:right="1150" w:bottom="1000" w:left="1150" w:header="708" w:footer="708" w:gutter="0"/>
          <w:cols w:space="720"/>
          <w:docGrid w:linePitch="360"/>
        </w:sectPr>
      </w:pPr>
    </w:p>
    <w:p w14:paraId="7D244453" w14:textId="77777777" w:rsidR="00132472" w:rsidRDefault="00000000">
      <w:pPr>
        <w:pStyle w:val="Heading1"/>
        <w:pageBreakBefore/>
        <w:pBdr>
          <w:bottom w:val="single" w:sz="8" w:space="4" w:color="1E8A5F"/>
        </w:pBdr>
        <w:spacing w:after="160"/>
      </w:pPr>
      <w:r>
        <w:rPr>
          <w:b/>
          <w:bCs/>
          <w:color w:val="0F5C3C"/>
          <w:sz w:val="28"/>
          <w:szCs w:val="28"/>
        </w:rPr>
        <w:lastRenderedPageBreak/>
        <w:t>Clinical Data Flow: The Big Picture</w:t>
      </w:r>
    </w:p>
    <w:p w14:paraId="735E2913" w14:textId="77777777" w:rsidR="00132472" w:rsidRDefault="00000000">
      <w:pPr>
        <w:spacing w:after="180" w:line="330" w:lineRule="auto"/>
      </w:pPr>
      <w:r>
        <w:rPr>
          <w:color w:val="222222"/>
          <w:sz w:val="22"/>
          <w:szCs w:val="22"/>
        </w:rPr>
        <w:t>Behind every clinical trial and every manufactured batch, there's software quietly keeping everything organized, standardized, and traceable. This module introduces the systems and standards you'll hear referenced constantly — not to teach you how to operate them, but so you recognise what they do and why they matter.</w:t>
      </w:r>
    </w:p>
    <w:p w14:paraId="7E5AA0BB" w14:textId="77777777" w:rsidR="00132472" w:rsidRDefault="00000000">
      <w:pPr>
        <w:spacing w:after="180" w:line="330" w:lineRule="auto"/>
      </w:pPr>
      <w:r>
        <w:rPr>
          <w:color w:val="222222"/>
          <w:sz w:val="22"/>
          <w:szCs w:val="22"/>
        </w:rPr>
        <w:t>A good way to understand these systems is to follow a single piece of patient data on its journey — from the moment it's collected, to the moment it reaches a regulator.</w:t>
      </w:r>
    </w:p>
    <w:p w14:paraId="75D51640" w14:textId="77777777" w:rsidR="00132472" w:rsidRDefault="00000000">
      <w:pPr>
        <w:spacing w:before="120" w:after="200"/>
        <w:jc w:val="center"/>
      </w:pPr>
      <w:r>
        <w:rPr>
          <w:noProof/>
        </w:rPr>
        <w:drawing>
          <wp:inline distT="0" distB="0" distL="0" distR="0" wp14:anchorId="67683DCA" wp14:editId="25176C90">
            <wp:extent cx="6286500" cy="1438275"/>
            <wp:effectExtent l="0" t="0" r="0" b="0"/>
            <wp:docPr id="800497305" name="Picture 80049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1438275"/>
                    </a:xfrm>
                    <a:prstGeom prst="rect">
                      <a:avLst/>
                    </a:prstGeom>
                  </pic:spPr>
                </pic:pic>
              </a:graphicData>
            </a:graphic>
          </wp:inline>
        </w:drawing>
      </w:r>
    </w:p>
    <w:p w14:paraId="0AC379E2" w14:textId="77777777" w:rsidR="00132472" w:rsidRDefault="00000000">
      <w:pPr>
        <w:spacing w:before="420" w:after="80"/>
      </w:pPr>
      <w:r>
        <w:rPr>
          <w:b/>
          <w:bCs/>
          <w:color w:val="1E8A5F"/>
          <w:sz w:val="29"/>
          <w:szCs w:val="29"/>
        </w:rPr>
        <w:t xml:space="preserve">1. </w:t>
      </w:r>
      <w:r>
        <w:rPr>
          <w:b/>
          <w:bCs/>
          <w:color w:val="0F5C3C"/>
          <w:sz w:val="29"/>
          <w:szCs w:val="29"/>
        </w:rPr>
        <w:t>EDC</w:t>
      </w:r>
      <w:r>
        <w:rPr>
          <w:b/>
          <w:bCs/>
          <w:color w:val="0F5C3C"/>
          <w:sz w:val="18"/>
          <w:szCs w:val="18"/>
        </w:rPr>
        <w:t xml:space="preserve"> — Electronic Data Capture</w:t>
      </w:r>
    </w:p>
    <w:p w14:paraId="0827847C" w14:textId="77777777" w:rsidR="00132472" w:rsidRDefault="00000000">
      <w:pPr>
        <w:spacing w:after="160"/>
      </w:pPr>
      <w:r>
        <w:rPr>
          <w:i/>
          <w:iCs/>
          <w:color w:val="6B6B6B"/>
        </w:rPr>
        <w:t>Category: Clinical Data Systems</w:t>
      </w:r>
    </w:p>
    <w:p w14:paraId="6F12310E" w14:textId="77777777" w:rsidR="00132472" w:rsidRDefault="00000000">
      <w:pPr>
        <w:spacing w:after="180" w:line="330" w:lineRule="auto"/>
      </w:pPr>
      <w:r>
        <w:rPr>
          <w:color w:val="222222"/>
          <w:sz w:val="22"/>
          <w:szCs w:val="22"/>
        </w:rPr>
        <w:t>EDC systems are the software platforms used to collect and store clinical trial data electronically, replacing paper CRFs. When a patient's data is recorded during a trial visit, it's usually entered directly into an EDC system.</w:t>
      </w:r>
    </w:p>
    <w:p w14:paraId="27F0E624" w14:textId="77777777" w:rsidR="00132472" w:rsidRDefault="00000000">
      <w:pPr>
        <w:pStyle w:val="ListParagraph"/>
        <w:numPr>
          <w:ilvl w:val="0"/>
          <w:numId w:val="2"/>
        </w:numPr>
        <w:spacing w:after="110" w:line="310" w:lineRule="auto"/>
      </w:pPr>
      <w:r>
        <w:rPr>
          <w:color w:val="222222"/>
          <w:sz w:val="22"/>
          <w:szCs w:val="22"/>
        </w:rPr>
        <w:t>Replaces paper case report forms with electronic ones (eCRFs).</w:t>
      </w:r>
    </w:p>
    <w:p w14:paraId="5FB9B6E3" w14:textId="77777777" w:rsidR="00132472" w:rsidRDefault="00000000">
      <w:pPr>
        <w:pStyle w:val="ListParagraph"/>
        <w:numPr>
          <w:ilvl w:val="0"/>
          <w:numId w:val="2"/>
        </w:numPr>
        <w:spacing w:after="110" w:line="310" w:lineRule="auto"/>
      </w:pPr>
      <w:r>
        <w:rPr>
          <w:color w:val="222222"/>
          <w:sz w:val="22"/>
          <w:szCs w:val="22"/>
        </w:rPr>
        <w:t>Allows real-time data entry, validation checks, and remote monitoring by sponsors.</w:t>
      </w:r>
    </w:p>
    <w:p w14:paraId="72AA0B10" w14:textId="77777777" w:rsidR="00132472" w:rsidRDefault="00000000">
      <w:pPr>
        <w:pStyle w:val="ListParagraph"/>
        <w:numPr>
          <w:ilvl w:val="0"/>
          <w:numId w:val="2"/>
        </w:numPr>
        <w:spacing w:after="110" w:line="310" w:lineRule="auto"/>
      </w:pPr>
      <w:r>
        <w:rPr>
          <w:color w:val="222222"/>
          <w:sz w:val="22"/>
          <w:szCs w:val="22"/>
        </w:rPr>
        <w:t>The starting point for most clinical trial data before it moves anywhere else.</w:t>
      </w:r>
    </w:p>
    <w:p w14:paraId="00775489" w14:textId="77777777" w:rsidR="00132472" w:rsidRDefault="00000000">
      <w:pPr>
        <w:spacing w:before="420" w:after="80"/>
      </w:pPr>
      <w:r>
        <w:rPr>
          <w:b/>
          <w:bCs/>
          <w:color w:val="1E8A5F"/>
          <w:sz w:val="29"/>
          <w:szCs w:val="29"/>
        </w:rPr>
        <w:t xml:space="preserve">2. </w:t>
      </w:r>
      <w:r>
        <w:rPr>
          <w:b/>
          <w:bCs/>
          <w:color w:val="0F5C3C"/>
          <w:sz w:val="29"/>
          <w:szCs w:val="29"/>
        </w:rPr>
        <w:t>CDISC</w:t>
      </w:r>
      <w:r>
        <w:rPr>
          <w:b/>
          <w:bCs/>
          <w:color w:val="0F5C3C"/>
          <w:sz w:val="18"/>
          <w:szCs w:val="18"/>
        </w:rPr>
        <w:t xml:space="preserve"> — Clinical Data Interchange Standards Consortium</w:t>
      </w:r>
    </w:p>
    <w:p w14:paraId="7CF2B8A6" w14:textId="77777777" w:rsidR="00132472" w:rsidRDefault="00000000">
      <w:pPr>
        <w:spacing w:after="160"/>
      </w:pPr>
      <w:r>
        <w:rPr>
          <w:i/>
          <w:iCs/>
          <w:color w:val="6B6B6B"/>
        </w:rPr>
        <w:t>Category: Clinical Data Systems</w:t>
      </w:r>
    </w:p>
    <w:p w14:paraId="06A2B0F2" w14:textId="77777777" w:rsidR="00132472" w:rsidRDefault="00000000">
      <w:pPr>
        <w:spacing w:after="180" w:line="330" w:lineRule="auto"/>
      </w:pPr>
      <w:r>
        <w:rPr>
          <w:color w:val="222222"/>
          <w:sz w:val="22"/>
          <w:szCs w:val="22"/>
        </w:rPr>
        <w:t>CDISC is a set of global standards that define how clinical trial data should be structured and formatted. It exists so that data from different trials, companies, and countries can all be compared and reviewed consistently by regulators.</w:t>
      </w:r>
    </w:p>
    <w:p w14:paraId="2A6ADD80" w14:textId="77777777" w:rsidR="00132472" w:rsidRDefault="00000000">
      <w:pPr>
        <w:pStyle w:val="ListParagraph"/>
        <w:numPr>
          <w:ilvl w:val="0"/>
          <w:numId w:val="2"/>
        </w:numPr>
        <w:spacing w:after="110" w:line="310" w:lineRule="auto"/>
      </w:pPr>
      <w:r>
        <w:rPr>
          <w:color w:val="222222"/>
          <w:sz w:val="22"/>
          <w:szCs w:val="22"/>
        </w:rPr>
        <w:t>Standardizes how clinical datasets are organized before regulatory submission.</w:t>
      </w:r>
    </w:p>
    <w:p w14:paraId="60C04A12" w14:textId="77777777" w:rsidR="00132472" w:rsidRDefault="00000000">
      <w:pPr>
        <w:pStyle w:val="ListParagraph"/>
        <w:numPr>
          <w:ilvl w:val="0"/>
          <w:numId w:val="2"/>
        </w:numPr>
        <w:spacing w:after="110" w:line="310" w:lineRule="auto"/>
      </w:pPr>
      <w:r>
        <w:rPr>
          <w:color w:val="222222"/>
          <w:sz w:val="22"/>
          <w:szCs w:val="22"/>
        </w:rPr>
        <w:t>Widely required by regulators like the USFDA for electronic data submissions.</w:t>
      </w:r>
    </w:p>
    <w:p w14:paraId="4BE674D2" w14:textId="77777777" w:rsidR="00132472" w:rsidRDefault="00000000">
      <w:pPr>
        <w:pStyle w:val="ListParagraph"/>
        <w:numPr>
          <w:ilvl w:val="0"/>
          <w:numId w:val="2"/>
        </w:numPr>
        <w:spacing w:after="110" w:line="310" w:lineRule="auto"/>
      </w:pPr>
      <w:r>
        <w:rPr>
          <w:color w:val="222222"/>
          <w:sz w:val="22"/>
          <w:szCs w:val="22"/>
        </w:rPr>
        <w:t>Think of it as a common language that lets regulators read data from any sponsor the same way.</w:t>
      </w:r>
    </w:p>
    <w:p w14:paraId="631C85C9" w14:textId="77777777" w:rsidR="00132472" w:rsidRDefault="00000000">
      <w:pPr>
        <w:spacing w:before="420" w:after="80"/>
      </w:pPr>
      <w:r>
        <w:rPr>
          <w:b/>
          <w:bCs/>
          <w:color w:val="1E8A5F"/>
          <w:sz w:val="29"/>
          <w:szCs w:val="29"/>
        </w:rPr>
        <w:t xml:space="preserve">3. </w:t>
      </w:r>
      <w:r>
        <w:rPr>
          <w:b/>
          <w:bCs/>
          <w:color w:val="0F5C3C"/>
          <w:sz w:val="29"/>
          <w:szCs w:val="29"/>
        </w:rPr>
        <w:t>MedDRA</w:t>
      </w:r>
      <w:r>
        <w:rPr>
          <w:b/>
          <w:bCs/>
          <w:color w:val="0F5C3C"/>
          <w:sz w:val="18"/>
          <w:szCs w:val="18"/>
        </w:rPr>
        <w:t xml:space="preserve"> — Medical Dictionary for Regulatory Activities</w:t>
      </w:r>
    </w:p>
    <w:p w14:paraId="584566A1" w14:textId="77777777" w:rsidR="00132472" w:rsidRDefault="00000000">
      <w:pPr>
        <w:spacing w:after="160"/>
      </w:pPr>
      <w:r>
        <w:rPr>
          <w:i/>
          <w:iCs/>
          <w:color w:val="6B6B6B"/>
        </w:rPr>
        <w:lastRenderedPageBreak/>
        <w:t>Category: Clinical Data Systems</w:t>
      </w:r>
    </w:p>
    <w:p w14:paraId="797F1CEE" w14:textId="77777777" w:rsidR="00132472" w:rsidRDefault="00000000">
      <w:pPr>
        <w:spacing w:after="180" w:line="330" w:lineRule="auto"/>
      </w:pPr>
      <w:r>
        <w:rPr>
          <w:color w:val="222222"/>
          <w:sz w:val="22"/>
          <w:szCs w:val="22"/>
        </w:rPr>
        <w:t>MedDRA is a standardized medical terminology dictionary used to code symptoms, diagnoses, and side effects reported during clinical trials and after a drug is on the market. It ensures "headache" is coded the same way everywhere, not written a dozen different ways.</w:t>
      </w:r>
    </w:p>
    <w:p w14:paraId="1C85CCA0" w14:textId="77777777" w:rsidR="00132472" w:rsidRDefault="00000000">
      <w:pPr>
        <w:pStyle w:val="ListParagraph"/>
        <w:numPr>
          <w:ilvl w:val="0"/>
          <w:numId w:val="2"/>
        </w:numPr>
        <w:spacing w:after="110" w:line="310" w:lineRule="auto"/>
      </w:pPr>
      <w:r>
        <w:rPr>
          <w:color w:val="222222"/>
          <w:sz w:val="22"/>
          <w:szCs w:val="22"/>
        </w:rPr>
        <w:t>Used mainly to code adverse events and medical history in a consistent format.</w:t>
      </w:r>
    </w:p>
    <w:p w14:paraId="5407DAD5" w14:textId="77777777" w:rsidR="00132472" w:rsidRDefault="00000000">
      <w:pPr>
        <w:pStyle w:val="ListParagraph"/>
        <w:numPr>
          <w:ilvl w:val="0"/>
          <w:numId w:val="2"/>
        </w:numPr>
        <w:spacing w:after="110" w:line="310" w:lineRule="auto"/>
      </w:pPr>
      <w:r>
        <w:rPr>
          <w:color w:val="222222"/>
          <w:sz w:val="22"/>
          <w:szCs w:val="22"/>
        </w:rPr>
        <w:t>Makes it possible to spot safety patterns across thousands of trial participants.</w:t>
      </w:r>
    </w:p>
    <w:p w14:paraId="4C630CDF" w14:textId="77777777" w:rsidR="00132472" w:rsidRDefault="00000000">
      <w:pPr>
        <w:pStyle w:val="ListParagraph"/>
        <w:numPr>
          <w:ilvl w:val="0"/>
          <w:numId w:val="2"/>
        </w:numPr>
        <w:spacing w:after="110" w:line="310" w:lineRule="auto"/>
      </w:pPr>
      <w:r>
        <w:rPr>
          <w:color w:val="222222"/>
          <w:sz w:val="22"/>
          <w:szCs w:val="22"/>
        </w:rPr>
        <w:t>Widely used by both clinical research and pharmacovigilance teams.</w:t>
      </w:r>
    </w:p>
    <w:p w14:paraId="0EF1ABA5" w14:textId="77777777" w:rsidR="00132472" w:rsidRDefault="00000000">
      <w:pPr>
        <w:spacing w:before="420" w:after="80"/>
      </w:pPr>
      <w:r>
        <w:rPr>
          <w:b/>
          <w:bCs/>
          <w:color w:val="1E8A5F"/>
          <w:sz w:val="29"/>
          <w:szCs w:val="29"/>
        </w:rPr>
        <w:t xml:space="preserve">4. </w:t>
      </w:r>
      <w:r>
        <w:rPr>
          <w:b/>
          <w:bCs/>
          <w:color w:val="0F5C3C"/>
          <w:sz w:val="29"/>
          <w:szCs w:val="29"/>
        </w:rPr>
        <w:t>WHO-DD</w:t>
      </w:r>
      <w:r>
        <w:rPr>
          <w:b/>
          <w:bCs/>
          <w:color w:val="0F5C3C"/>
          <w:sz w:val="18"/>
          <w:szCs w:val="18"/>
        </w:rPr>
        <w:t xml:space="preserve"> — WHO Drug Dictionary</w:t>
      </w:r>
    </w:p>
    <w:p w14:paraId="68528A3E" w14:textId="77777777" w:rsidR="00132472" w:rsidRDefault="00000000">
      <w:pPr>
        <w:spacing w:after="160"/>
      </w:pPr>
      <w:r>
        <w:rPr>
          <w:i/>
          <w:iCs/>
          <w:color w:val="6B6B6B"/>
        </w:rPr>
        <w:t>Category: Clinical Data Systems</w:t>
      </w:r>
    </w:p>
    <w:p w14:paraId="418E5A4B" w14:textId="77777777" w:rsidR="00132472" w:rsidRDefault="00000000">
      <w:pPr>
        <w:spacing w:after="180" w:line="330" w:lineRule="auto"/>
      </w:pPr>
      <w:r>
        <w:rPr>
          <w:color w:val="222222"/>
          <w:sz w:val="22"/>
          <w:szCs w:val="22"/>
        </w:rPr>
        <w:t>The WHO Drug Dictionary is a standardized reference for coding medications — including brand names, generic names, and active ingredients — so that drug data can be compared consistently across trials and countries.</w:t>
      </w:r>
    </w:p>
    <w:p w14:paraId="0D2ACD0F" w14:textId="77777777" w:rsidR="00132472" w:rsidRDefault="00000000">
      <w:pPr>
        <w:pStyle w:val="ListParagraph"/>
        <w:numPr>
          <w:ilvl w:val="0"/>
          <w:numId w:val="2"/>
        </w:numPr>
        <w:spacing w:after="110" w:line="310" w:lineRule="auto"/>
      </w:pPr>
      <w:r>
        <w:rPr>
          <w:color w:val="222222"/>
          <w:sz w:val="22"/>
          <w:szCs w:val="22"/>
        </w:rPr>
        <w:t>Used to code any medication a trial participant reports taking, including concomitant medications.</w:t>
      </w:r>
    </w:p>
    <w:p w14:paraId="3E097BCF" w14:textId="77777777" w:rsidR="00132472" w:rsidRDefault="00000000">
      <w:pPr>
        <w:pStyle w:val="ListParagraph"/>
        <w:numPr>
          <w:ilvl w:val="0"/>
          <w:numId w:val="2"/>
        </w:numPr>
        <w:spacing w:after="110" w:line="310" w:lineRule="auto"/>
      </w:pPr>
      <w:r>
        <w:rPr>
          <w:color w:val="222222"/>
          <w:sz w:val="22"/>
          <w:szCs w:val="22"/>
        </w:rPr>
        <w:t>Complements MedDRA — MedDRA codes medical events, WHO-DD codes the drugs themselves.</w:t>
      </w:r>
    </w:p>
    <w:p w14:paraId="0CDF995B" w14:textId="77777777" w:rsidR="00132472" w:rsidRDefault="00000000">
      <w:pPr>
        <w:pStyle w:val="ListParagraph"/>
        <w:numPr>
          <w:ilvl w:val="0"/>
          <w:numId w:val="2"/>
        </w:numPr>
        <w:spacing w:after="110" w:line="310" w:lineRule="auto"/>
      </w:pPr>
      <w:r>
        <w:rPr>
          <w:color w:val="222222"/>
          <w:sz w:val="22"/>
          <w:szCs w:val="22"/>
        </w:rPr>
        <w:t>Maintained and updated by the World Health Organization for global consistency.</w:t>
      </w:r>
    </w:p>
    <w:p w14:paraId="790AF3C6" w14:textId="77777777" w:rsidR="00132472" w:rsidRDefault="00000000">
      <w:pPr>
        <w:spacing w:before="420" w:after="80"/>
      </w:pPr>
      <w:r>
        <w:rPr>
          <w:b/>
          <w:bCs/>
          <w:color w:val="1E8A5F"/>
          <w:sz w:val="29"/>
          <w:szCs w:val="29"/>
        </w:rPr>
        <w:t xml:space="preserve">5. </w:t>
      </w:r>
      <w:r>
        <w:rPr>
          <w:b/>
          <w:bCs/>
          <w:color w:val="0F5C3C"/>
          <w:sz w:val="29"/>
          <w:szCs w:val="29"/>
        </w:rPr>
        <w:t>LIMS</w:t>
      </w:r>
      <w:r>
        <w:rPr>
          <w:b/>
          <w:bCs/>
          <w:color w:val="0F5C3C"/>
          <w:sz w:val="18"/>
          <w:szCs w:val="18"/>
        </w:rPr>
        <w:t xml:space="preserve"> — Laboratory Information Management System</w:t>
      </w:r>
    </w:p>
    <w:p w14:paraId="3436EA37" w14:textId="77777777" w:rsidR="00132472" w:rsidRDefault="00000000">
      <w:pPr>
        <w:spacing w:after="160"/>
      </w:pPr>
      <w:r>
        <w:rPr>
          <w:i/>
          <w:iCs/>
          <w:color w:val="6B6B6B"/>
        </w:rPr>
        <w:t>Category: Operations Systems</w:t>
      </w:r>
    </w:p>
    <w:p w14:paraId="39C4206A" w14:textId="77777777" w:rsidR="00132472" w:rsidRDefault="00000000">
      <w:pPr>
        <w:spacing w:after="180" w:line="330" w:lineRule="auto"/>
      </w:pPr>
      <w:r>
        <w:rPr>
          <w:color w:val="222222"/>
          <w:sz w:val="22"/>
          <w:szCs w:val="22"/>
        </w:rPr>
        <w:t>A LIMS is software used by labs to track samples, tests, and results — from the moment a sample arrives to the moment a result is reported. It's common in both quality control labs and clinical trial bioanalytical labs.</w:t>
      </w:r>
    </w:p>
    <w:p w14:paraId="341C5395" w14:textId="77777777" w:rsidR="00132472" w:rsidRDefault="00000000">
      <w:pPr>
        <w:pStyle w:val="ListParagraph"/>
        <w:numPr>
          <w:ilvl w:val="0"/>
          <w:numId w:val="2"/>
        </w:numPr>
        <w:spacing w:after="110" w:line="310" w:lineRule="auto"/>
      </w:pPr>
      <w:r>
        <w:rPr>
          <w:color w:val="222222"/>
          <w:sz w:val="22"/>
          <w:szCs w:val="22"/>
        </w:rPr>
        <w:t>Tracks each sample's location, status, and test results throughout its lifecycle in the lab.</w:t>
      </w:r>
    </w:p>
    <w:p w14:paraId="3DBF4323" w14:textId="77777777" w:rsidR="00132472" w:rsidRDefault="00000000">
      <w:pPr>
        <w:pStyle w:val="ListParagraph"/>
        <w:numPr>
          <w:ilvl w:val="0"/>
          <w:numId w:val="2"/>
        </w:numPr>
        <w:spacing w:after="110" w:line="310" w:lineRule="auto"/>
      </w:pPr>
      <w:r>
        <w:rPr>
          <w:color w:val="222222"/>
          <w:sz w:val="22"/>
          <w:szCs w:val="22"/>
        </w:rPr>
        <w:t>Reduces manual record-keeping errors and supports GLP/GCLP data integrity requirements.</w:t>
      </w:r>
    </w:p>
    <w:p w14:paraId="6D7F5E8B" w14:textId="77777777" w:rsidR="00132472" w:rsidRDefault="00000000">
      <w:pPr>
        <w:pStyle w:val="ListParagraph"/>
        <w:numPr>
          <w:ilvl w:val="0"/>
          <w:numId w:val="2"/>
        </w:numPr>
        <w:spacing w:after="110" w:line="310" w:lineRule="auto"/>
      </w:pPr>
      <w:r>
        <w:rPr>
          <w:color w:val="222222"/>
          <w:sz w:val="22"/>
          <w:szCs w:val="22"/>
        </w:rPr>
        <w:t>Used heavily in manufacturing quality control and clinical trial sample testing.</w:t>
      </w:r>
    </w:p>
    <w:p w14:paraId="4A5AE99D" w14:textId="77777777" w:rsidR="00132472" w:rsidRDefault="00000000">
      <w:pPr>
        <w:spacing w:before="420" w:after="80"/>
      </w:pPr>
      <w:r>
        <w:rPr>
          <w:b/>
          <w:bCs/>
          <w:color w:val="1E8A5F"/>
          <w:sz w:val="29"/>
          <w:szCs w:val="29"/>
        </w:rPr>
        <w:t xml:space="preserve">6. </w:t>
      </w:r>
      <w:r>
        <w:rPr>
          <w:b/>
          <w:bCs/>
          <w:color w:val="0F5C3C"/>
          <w:sz w:val="29"/>
          <w:szCs w:val="29"/>
        </w:rPr>
        <w:t>ERP</w:t>
      </w:r>
      <w:r>
        <w:rPr>
          <w:b/>
          <w:bCs/>
          <w:color w:val="0F5C3C"/>
          <w:sz w:val="18"/>
          <w:szCs w:val="18"/>
        </w:rPr>
        <w:t xml:space="preserve"> — Enterprise Resource Planning</w:t>
      </w:r>
    </w:p>
    <w:p w14:paraId="1CC11443" w14:textId="77777777" w:rsidR="00132472" w:rsidRDefault="00000000">
      <w:pPr>
        <w:spacing w:after="160"/>
      </w:pPr>
      <w:r>
        <w:rPr>
          <w:i/>
          <w:iCs/>
          <w:color w:val="6B6B6B"/>
        </w:rPr>
        <w:t>Category: Operations Systems</w:t>
      </w:r>
    </w:p>
    <w:p w14:paraId="36331B38" w14:textId="77777777" w:rsidR="00132472" w:rsidRDefault="00000000">
      <w:pPr>
        <w:spacing w:after="180" w:line="330" w:lineRule="auto"/>
      </w:pPr>
      <w:r>
        <w:rPr>
          <w:color w:val="222222"/>
          <w:sz w:val="22"/>
          <w:szCs w:val="22"/>
        </w:rPr>
        <w:t>An ERP system is company-wide software that manages core business operations — manufacturing, inventory, supply chain, procurement, and finance — all in one connected system, rather than in separate disconnected tools.</w:t>
      </w:r>
    </w:p>
    <w:p w14:paraId="61A7F4C1" w14:textId="77777777" w:rsidR="00132472" w:rsidRDefault="00000000">
      <w:pPr>
        <w:pStyle w:val="ListParagraph"/>
        <w:numPr>
          <w:ilvl w:val="0"/>
          <w:numId w:val="2"/>
        </w:numPr>
        <w:spacing w:after="110" w:line="310" w:lineRule="auto"/>
      </w:pPr>
      <w:r>
        <w:rPr>
          <w:color w:val="222222"/>
          <w:sz w:val="22"/>
          <w:szCs w:val="22"/>
        </w:rPr>
        <w:t>Used to plan manufacturing runs, track raw material inventory, and manage supply chain logistics.</w:t>
      </w:r>
    </w:p>
    <w:p w14:paraId="03657FE9" w14:textId="77777777" w:rsidR="00132472" w:rsidRDefault="00000000">
      <w:pPr>
        <w:pStyle w:val="ListParagraph"/>
        <w:numPr>
          <w:ilvl w:val="0"/>
          <w:numId w:val="2"/>
        </w:numPr>
        <w:spacing w:after="110" w:line="310" w:lineRule="auto"/>
      </w:pPr>
      <w:r>
        <w:rPr>
          <w:color w:val="222222"/>
          <w:sz w:val="22"/>
          <w:szCs w:val="22"/>
        </w:rPr>
        <w:t>Connects departments so that, for example, a sales forecast can inform a production schedule.</w:t>
      </w:r>
    </w:p>
    <w:p w14:paraId="67E8C16B" w14:textId="77777777" w:rsidR="00132472" w:rsidRDefault="00000000">
      <w:pPr>
        <w:pStyle w:val="ListParagraph"/>
        <w:numPr>
          <w:ilvl w:val="0"/>
          <w:numId w:val="2"/>
        </w:numPr>
        <w:spacing w:after="110" w:line="310" w:lineRule="auto"/>
      </w:pPr>
      <w:r>
        <w:rPr>
          <w:color w:val="222222"/>
          <w:sz w:val="22"/>
          <w:szCs w:val="22"/>
        </w:rPr>
        <w:lastRenderedPageBreak/>
        <w:t>Common ERP platforms in pharma include SAP and Oracle, among others.</w:t>
      </w:r>
    </w:p>
    <w:p w14:paraId="6751136A" w14:textId="77777777" w:rsidR="00132472" w:rsidRDefault="00000000">
      <w:pPr>
        <w:pBdr>
          <w:bottom w:val="single" w:sz="8" w:space="4" w:color="1E8A5F"/>
        </w:pBdr>
        <w:spacing w:before="300" w:after="140"/>
      </w:pPr>
      <w:r>
        <w:rPr>
          <w:b/>
          <w:bCs/>
          <w:color w:val="0F5C3C"/>
          <w:sz w:val="27"/>
          <w:szCs w:val="27"/>
        </w:rPr>
        <w:t>Quick Reference: All Six Systems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400"/>
        <w:gridCol w:w="2600"/>
      </w:tblGrid>
      <w:tr w:rsidR="00132472" w14:paraId="41548E54" w14:textId="77777777">
        <w:tblPrEx>
          <w:tblCellMar>
            <w:top w:w="0" w:type="dxa"/>
            <w:bottom w:w="0" w:type="dxa"/>
          </w:tblCellMar>
        </w:tblPrEx>
        <w:trPr>
          <w:tblHeader/>
        </w:trPr>
        <w:tc>
          <w:tcPr>
            <w:tcW w:w="1600" w:type="dxa"/>
            <w:shd w:val="clear" w:color="auto" w:fill="0F5C3C"/>
            <w:tcMar>
              <w:top w:w="100" w:type="dxa"/>
              <w:left w:w="150" w:type="dxa"/>
              <w:bottom w:w="100" w:type="dxa"/>
              <w:right w:w="150" w:type="dxa"/>
            </w:tcMar>
            <w:vAlign w:val="center"/>
          </w:tcPr>
          <w:p w14:paraId="2C62B8C7" w14:textId="77777777" w:rsidR="00132472" w:rsidRDefault="00000000">
            <w:r>
              <w:rPr>
                <w:b/>
                <w:bCs/>
                <w:color w:val="FFFFFF"/>
                <w:sz w:val="19"/>
                <w:szCs w:val="19"/>
              </w:rPr>
              <w:t>System</w:t>
            </w:r>
          </w:p>
        </w:tc>
        <w:tc>
          <w:tcPr>
            <w:tcW w:w="4400" w:type="dxa"/>
            <w:shd w:val="clear" w:color="auto" w:fill="0F5C3C"/>
            <w:tcMar>
              <w:top w:w="100" w:type="dxa"/>
              <w:left w:w="150" w:type="dxa"/>
              <w:bottom w:w="100" w:type="dxa"/>
              <w:right w:w="150" w:type="dxa"/>
            </w:tcMar>
            <w:vAlign w:val="center"/>
          </w:tcPr>
          <w:p w14:paraId="62577A04" w14:textId="77777777" w:rsidR="00132472" w:rsidRDefault="00000000">
            <w:r>
              <w:rPr>
                <w:b/>
                <w:bCs/>
                <w:color w:val="FFFFFF"/>
                <w:sz w:val="19"/>
                <w:szCs w:val="19"/>
              </w:rPr>
              <w:t>What It Is</w:t>
            </w:r>
          </w:p>
        </w:tc>
        <w:tc>
          <w:tcPr>
            <w:tcW w:w="2600" w:type="dxa"/>
            <w:shd w:val="clear" w:color="auto" w:fill="0F5C3C"/>
            <w:tcMar>
              <w:top w:w="100" w:type="dxa"/>
              <w:left w:w="150" w:type="dxa"/>
              <w:bottom w:w="100" w:type="dxa"/>
              <w:right w:w="150" w:type="dxa"/>
            </w:tcMar>
            <w:vAlign w:val="center"/>
          </w:tcPr>
          <w:p w14:paraId="50F0CF7B" w14:textId="77777777" w:rsidR="00132472" w:rsidRDefault="00000000">
            <w:r>
              <w:rPr>
                <w:b/>
                <w:bCs/>
                <w:color w:val="FFFFFF"/>
                <w:sz w:val="19"/>
                <w:szCs w:val="19"/>
              </w:rPr>
              <w:t>Category</w:t>
            </w:r>
          </w:p>
        </w:tc>
      </w:tr>
      <w:tr w:rsidR="00132472" w14:paraId="37733AB7" w14:textId="77777777">
        <w:tblPrEx>
          <w:tblCellMar>
            <w:top w:w="0" w:type="dxa"/>
            <w:bottom w:w="0" w:type="dxa"/>
          </w:tblCellMar>
        </w:tblPrEx>
        <w:tc>
          <w:tcPr>
            <w:tcW w:w="1600" w:type="dxa"/>
            <w:shd w:val="clear" w:color="auto" w:fill="FFFFFF"/>
            <w:tcMar>
              <w:top w:w="100" w:type="dxa"/>
              <w:left w:w="150" w:type="dxa"/>
              <w:bottom w:w="100" w:type="dxa"/>
              <w:right w:w="150" w:type="dxa"/>
            </w:tcMar>
            <w:vAlign w:val="center"/>
          </w:tcPr>
          <w:p w14:paraId="63E514E4" w14:textId="77777777" w:rsidR="00132472" w:rsidRDefault="00000000">
            <w:r>
              <w:rPr>
                <w:color w:val="222222"/>
                <w:sz w:val="19"/>
                <w:szCs w:val="19"/>
              </w:rPr>
              <w:t>EDC</w:t>
            </w:r>
          </w:p>
        </w:tc>
        <w:tc>
          <w:tcPr>
            <w:tcW w:w="4400" w:type="dxa"/>
            <w:shd w:val="clear" w:color="auto" w:fill="FFFFFF"/>
            <w:tcMar>
              <w:top w:w="100" w:type="dxa"/>
              <w:left w:w="150" w:type="dxa"/>
              <w:bottom w:w="100" w:type="dxa"/>
              <w:right w:w="150" w:type="dxa"/>
            </w:tcMar>
            <w:vAlign w:val="center"/>
          </w:tcPr>
          <w:p w14:paraId="665F49A4" w14:textId="77777777" w:rsidR="00132472" w:rsidRDefault="00000000">
            <w:r>
              <w:rPr>
                <w:color w:val="222222"/>
                <w:sz w:val="19"/>
                <w:szCs w:val="19"/>
              </w:rPr>
              <w:t>Software for capturing clinical trial data</w:t>
            </w:r>
          </w:p>
        </w:tc>
        <w:tc>
          <w:tcPr>
            <w:tcW w:w="2600" w:type="dxa"/>
            <w:shd w:val="clear" w:color="auto" w:fill="FFFFFF"/>
            <w:tcMar>
              <w:top w:w="100" w:type="dxa"/>
              <w:left w:w="150" w:type="dxa"/>
              <w:bottom w:w="100" w:type="dxa"/>
              <w:right w:w="150" w:type="dxa"/>
            </w:tcMar>
            <w:vAlign w:val="center"/>
          </w:tcPr>
          <w:p w14:paraId="7098F81C" w14:textId="77777777" w:rsidR="00132472" w:rsidRDefault="00000000">
            <w:r>
              <w:rPr>
                <w:color w:val="222222"/>
                <w:sz w:val="19"/>
                <w:szCs w:val="19"/>
              </w:rPr>
              <w:t>Clinical Data Systems</w:t>
            </w:r>
          </w:p>
        </w:tc>
      </w:tr>
      <w:tr w:rsidR="00132472" w14:paraId="61A9735B" w14:textId="77777777">
        <w:tblPrEx>
          <w:tblCellMar>
            <w:top w:w="0" w:type="dxa"/>
            <w:bottom w:w="0" w:type="dxa"/>
          </w:tblCellMar>
        </w:tblPrEx>
        <w:tc>
          <w:tcPr>
            <w:tcW w:w="1600" w:type="dxa"/>
            <w:shd w:val="clear" w:color="auto" w:fill="F5FAF7"/>
            <w:tcMar>
              <w:top w:w="100" w:type="dxa"/>
              <w:left w:w="150" w:type="dxa"/>
              <w:bottom w:w="100" w:type="dxa"/>
              <w:right w:w="150" w:type="dxa"/>
            </w:tcMar>
            <w:vAlign w:val="center"/>
          </w:tcPr>
          <w:p w14:paraId="5AA051B9" w14:textId="77777777" w:rsidR="00132472" w:rsidRDefault="00000000">
            <w:r>
              <w:rPr>
                <w:color w:val="222222"/>
                <w:sz w:val="19"/>
                <w:szCs w:val="19"/>
              </w:rPr>
              <w:t>CDISC</w:t>
            </w:r>
          </w:p>
        </w:tc>
        <w:tc>
          <w:tcPr>
            <w:tcW w:w="4400" w:type="dxa"/>
            <w:shd w:val="clear" w:color="auto" w:fill="F5FAF7"/>
            <w:tcMar>
              <w:top w:w="100" w:type="dxa"/>
              <w:left w:w="150" w:type="dxa"/>
              <w:bottom w:w="100" w:type="dxa"/>
              <w:right w:w="150" w:type="dxa"/>
            </w:tcMar>
            <w:vAlign w:val="center"/>
          </w:tcPr>
          <w:p w14:paraId="536C1ED7" w14:textId="77777777" w:rsidR="00132472" w:rsidRDefault="00000000">
            <w:r>
              <w:rPr>
                <w:color w:val="222222"/>
                <w:sz w:val="19"/>
                <w:szCs w:val="19"/>
              </w:rPr>
              <w:t>Standard format for clinical datasets</w:t>
            </w:r>
          </w:p>
        </w:tc>
        <w:tc>
          <w:tcPr>
            <w:tcW w:w="2600" w:type="dxa"/>
            <w:shd w:val="clear" w:color="auto" w:fill="F5FAF7"/>
            <w:tcMar>
              <w:top w:w="100" w:type="dxa"/>
              <w:left w:w="150" w:type="dxa"/>
              <w:bottom w:w="100" w:type="dxa"/>
              <w:right w:w="150" w:type="dxa"/>
            </w:tcMar>
            <w:vAlign w:val="center"/>
          </w:tcPr>
          <w:p w14:paraId="75E808E0" w14:textId="77777777" w:rsidR="00132472" w:rsidRDefault="00000000">
            <w:r>
              <w:rPr>
                <w:color w:val="222222"/>
                <w:sz w:val="19"/>
                <w:szCs w:val="19"/>
              </w:rPr>
              <w:t>Clinical Data Systems</w:t>
            </w:r>
          </w:p>
        </w:tc>
      </w:tr>
      <w:tr w:rsidR="00132472" w14:paraId="41F548F9" w14:textId="77777777">
        <w:tblPrEx>
          <w:tblCellMar>
            <w:top w:w="0" w:type="dxa"/>
            <w:bottom w:w="0" w:type="dxa"/>
          </w:tblCellMar>
        </w:tblPrEx>
        <w:tc>
          <w:tcPr>
            <w:tcW w:w="1600" w:type="dxa"/>
            <w:shd w:val="clear" w:color="auto" w:fill="FFFFFF"/>
            <w:tcMar>
              <w:top w:w="100" w:type="dxa"/>
              <w:left w:w="150" w:type="dxa"/>
              <w:bottom w:w="100" w:type="dxa"/>
              <w:right w:w="150" w:type="dxa"/>
            </w:tcMar>
            <w:vAlign w:val="center"/>
          </w:tcPr>
          <w:p w14:paraId="3CBB5F2C" w14:textId="77777777" w:rsidR="00132472" w:rsidRDefault="00000000">
            <w:r>
              <w:rPr>
                <w:color w:val="222222"/>
                <w:sz w:val="19"/>
                <w:szCs w:val="19"/>
              </w:rPr>
              <w:t>MedDRA</w:t>
            </w:r>
          </w:p>
        </w:tc>
        <w:tc>
          <w:tcPr>
            <w:tcW w:w="4400" w:type="dxa"/>
            <w:shd w:val="clear" w:color="auto" w:fill="FFFFFF"/>
            <w:tcMar>
              <w:top w:w="100" w:type="dxa"/>
              <w:left w:w="150" w:type="dxa"/>
              <w:bottom w:w="100" w:type="dxa"/>
              <w:right w:w="150" w:type="dxa"/>
            </w:tcMar>
            <w:vAlign w:val="center"/>
          </w:tcPr>
          <w:p w14:paraId="7B3EF126" w14:textId="77777777" w:rsidR="00132472" w:rsidRDefault="00000000">
            <w:r>
              <w:rPr>
                <w:color w:val="222222"/>
                <w:sz w:val="19"/>
                <w:szCs w:val="19"/>
              </w:rPr>
              <w:t>Dictionary for coding medical events</w:t>
            </w:r>
          </w:p>
        </w:tc>
        <w:tc>
          <w:tcPr>
            <w:tcW w:w="2600" w:type="dxa"/>
            <w:shd w:val="clear" w:color="auto" w:fill="FFFFFF"/>
            <w:tcMar>
              <w:top w:w="100" w:type="dxa"/>
              <w:left w:w="150" w:type="dxa"/>
              <w:bottom w:w="100" w:type="dxa"/>
              <w:right w:w="150" w:type="dxa"/>
            </w:tcMar>
            <w:vAlign w:val="center"/>
          </w:tcPr>
          <w:p w14:paraId="38B63AA9" w14:textId="77777777" w:rsidR="00132472" w:rsidRDefault="00000000">
            <w:r>
              <w:rPr>
                <w:color w:val="222222"/>
                <w:sz w:val="19"/>
                <w:szCs w:val="19"/>
              </w:rPr>
              <w:t>Clinical Data Systems</w:t>
            </w:r>
          </w:p>
        </w:tc>
      </w:tr>
      <w:tr w:rsidR="00132472" w14:paraId="292E5086" w14:textId="77777777">
        <w:tblPrEx>
          <w:tblCellMar>
            <w:top w:w="0" w:type="dxa"/>
            <w:bottom w:w="0" w:type="dxa"/>
          </w:tblCellMar>
        </w:tblPrEx>
        <w:tc>
          <w:tcPr>
            <w:tcW w:w="1600" w:type="dxa"/>
            <w:shd w:val="clear" w:color="auto" w:fill="F5FAF7"/>
            <w:tcMar>
              <w:top w:w="100" w:type="dxa"/>
              <w:left w:w="150" w:type="dxa"/>
              <w:bottom w:w="100" w:type="dxa"/>
              <w:right w:w="150" w:type="dxa"/>
            </w:tcMar>
            <w:vAlign w:val="center"/>
          </w:tcPr>
          <w:p w14:paraId="79FD61A7" w14:textId="77777777" w:rsidR="00132472" w:rsidRDefault="00000000">
            <w:r>
              <w:rPr>
                <w:color w:val="222222"/>
                <w:sz w:val="19"/>
                <w:szCs w:val="19"/>
              </w:rPr>
              <w:t>WHO-DD</w:t>
            </w:r>
          </w:p>
        </w:tc>
        <w:tc>
          <w:tcPr>
            <w:tcW w:w="4400" w:type="dxa"/>
            <w:shd w:val="clear" w:color="auto" w:fill="F5FAF7"/>
            <w:tcMar>
              <w:top w:w="100" w:type="dxa"/>
              <w:left w:w="150" w:type="dxa"/>
              <w:bottom w:w="100" w:type="dxa"/>
              <w:right w:w="150" w:type="dxa"/>
            </w:tcMar>
            <w:vAlign w:val="center"/>
          </w:tcPr>
          <w:p w14:paraId="089844C6" w14:textId="77777777" w:rsidR="00132472" w:rsidRDefault="00000000">
            <w:r>
              <w:rPr>
                <w:color w:val="222222"/>
                <w:sz w:val="19"/>
                <w:szCs w:val="19"/>
              </w:rPr>
              <w:t>Dictionary for coding medications</w:t>
            </w:r>
          </w:p>
        </w:tc>
        <w:tc>
          <w:tcPr>
            <w:tcW w:w="2600" w:type="dxa"/>
            <w:shd w:val="clear" w:color="auto" w:fill="F5FAF7"/>
            <w:tcMar>
              <w:top w:w="100" w:type="dxa"/>
              <w:left w:w="150" w:type="dxa"/>
              <w:bottom w:w="100" w:type="dxa"/>
              <w:right w:w="150" w:type="dxa"/>
            </w:tcMar>
            <w:vAlign w:val="center"/>
          </w:tcPr>
          <w:p w14:paraId="54931235" w14:textId="77777777" w:rsidR="00132472" w:rsidRDefault="00000000">
            <w:r>
              <w:rPr>
                <w:color w:val="222222"/>
                <w:sz w:val="19"/>
                <w:szCs w:val="19"/>
              </w:rPr>
              <w:t>Clinical Data Systems</w:t>
            </w:r>
          </w:p>
        </w:tc>
      </w:tr>
      <w:tr w:rsidR="00132472" w14:paraId="3E111DC9" w14:textId="77777777">
        <w:tblPrEx>
          <w:tblCellMar>
            <w:top w:w="0" w:type="dxa"/>
            <w:bottom w:w="0" w:type="dxa"/>
          </w:tblCellMar>
        </w:tblPrEx>
        <w:tc>
          <w:tcPr>
            <w:tcW w:w="1600" w:type="dxa"/>
            <w:shd w:val="clear" w:color="auto" w:fill="FFFFFF"/>
            <w:tcMar>
              <w:top w:w="100" w:type="dxa"/>
              <w:left w:w="150" w:type="dxa"/>
              <w:bottom w:w="100" w:type="dxa"/>
              <w:right w:w="150" w:type="dxa"/>
            </w:tcMar>
            <w:vAlign w:val="center"/>
          </w:tcPr>
          <w:p w14:paraId="70D3F347" w14:textId="77777777" w:rsidR="00132472" w:rsidRDefault="00000000">
            <w:r>
              <w:rPr>
                <w:color w:val="222222"/>
                <w:sz w:val="19"/>
                <w:szCs w:val="19"/>
              </w:rPr>
              <w:t>LIMS</w:t>
            </w:r>
          </w:p>
        </w:tc>
        <w:tc>
          <w:tcPr>
            <w:tcW w:w="4400" w:type="dxa"/>
            <w:shd w:val="clear" w:color="auto" w:fill="FFFFFF"/>
            <w:tcMar>
              <w:top w:w="100" w:type="dxa"/>
              <w:left w:w="150" w:type="dxa"/>
              <w:bottom w:w="100" w:type="dxa"/>
              <w:right w:w="150" w:type="dxa"/>
            </w:tcMar>
            <w:vAlign w:val="center"/>
          </w:tcPr>
          <w:p w14:paraId="0E28D964" w14:textId="77777777" w:rsidR="00132472" w:rsidRDefault="00000000">
            <w:r>
              <w:rPr>
                <w:color w:val="222222"/>
                <w:sz w:val="19"/>
                <w:szCs w:val="19"/>
              </w:rPr>
              <w:t>System for tracking lab samples &amp; results</w:t>
            </w:r>
          </w:p>
        </w:tc>
        <w:tc>
          <w:tcPr>
            <w:tcW w:w="2600" w:type="dxa"/>
            <w:shd w:val="clear" w:color="auto" w:fill="FFFFFF"/>
            <w:tcMar>
              <w:top w:w="100" w:type="dxa"/>
              <w:left w:w="150" w:type="dxa"/>
              <w:bottom w:w="100" w:type="dxa"/>
              <w:right w:w="150" w:type="dxa"/>
            </w:tcMar>
            <w:vAlign w:val="center"/>
          </w:tcPr>
          <w:p w14:paraId="502888B3" w14:textId="77777777" w:rsidR="00132472" w:rsidRDefault="00000000">
            <w:r>
              <w:rPr>
                <w:color w:val="222222"/>
                <w:sz w:val="19"/>
                <w:szCs w:val="19"/>
              </w:rPr>
              <w:t>Operations Systems</w:t>
            </w:r>
          </w:p>
        </w:tc>
      </w:tr>
      <w:tr w:rsidR="00132472" w14:paraId="1B2FC6DA" w14:textId="77777777">
        <w:tblPrEx>
          <w:tblCellMar>
            <w:top w:w="0" w:type="dxa"/>
            <w:bottom w:w="0" w:type="dxa"/>
          </w:tblCellMar>
        </w:tblPrEx>
        <w:tc>
          <w:tcPr>
            <w:tcW w:w="1600" w:type="dxa"/>
            <w:shd w:val="clear" w:color="auto" w:fill="F5FAF7"/>
            <w:tcMar>
              <w:top w:w="100" w:type="dxa"/>
              <w:left w:w="150" w:type="dxa"/>
              <w:bottom w:w="100" w:type="dxa"/>
              <w:right w:w="150" w:type="dxa"/>
            </w:tcMar>
            <w:vAlign w:val="center"/>
          </w:tcPr>
          <w:p w14:paraId="31B06AEF" w14:textId="77777777" w:rsidR="00132472" w:rsidRDefault="00000000">
            <w:r>
              <w:rPr>
                <w:color w:val="222222"/>
                <w:sz w:val="19"/>
                <w:szCs w:val="19"/>
              </w:rPr>
              <w:t>ERP</w:t>
            </w:r>
          </w:p>
        </w:tc>
        <w:tc>
          <w:tcPr>
            <w:tcW w:w="4400" w:type="dxa"/>
            <w:shd w:val="clear" w:color="auto" w:fill="F5FAF7"/>
            <w:tcMar>
              <w:top w:w="100" w:type="dxa"/>
              <w:left w:w="150" w:type="dxa"/>
              <w:bottom w:w="100" w:type="dxa"/>
              <w:right w:w="150" w:type="dxa"/>
            </w:tcMar>
            <w:vAlign w:val="center"/>
          </w:tcPr>
          <w:p w14:paraId="58030E2B" w14:textId="77777777" w:rsidR="00132472" w:rsidRDefault="00000000">
            <w:r>
              <w:rPr>
                <w:color w:val="222222"/>
                <w:sz w:val="19"/>
                <w:szCs w:val="19"/>
              </w:rPr>
              <w:t>System for managing company-wide operations</w:t>
            </w:r>
          </w:p>
        </w:tc>
        <w:tc>
          <w:tcPr>
            <w:tcW w:w="2600" w:type="dxa"/>
            <w:shd w:val="clear" w:color="auto" w:fill="F5FAF7"/>
            <w:tcMar>
              <w:top w:w="100" w:type="dxa"/>
              <w:left w:w="150" w:type="dxa"/>
              <w:bottom w:w="100" w:type="dxa"/>
              <w:right w:w="150" w:type="dxa"/>
            </w:tcMar>
            <w:vAlign w:val="center"/>
          </w:tcPr>
          <w:p w14:paraId="08435C12" w14:textId="77777777" w:rsidR="00132472" w:rsidRDefault="00000000">
            <w:r>
              <w:rPr>
                <w:color w:val="222222"/>
                <w:sz w:val="19"/>
                <w:szCs w:val="19"/>
              </w:rPr>
              <w:t>Operations Systems</w:t>
            </w:r>
          </w:p>
        </w:tc>
      </w:tr>
    </w:tbl>
    <w:p w14:paraId="12EC6866" w14:textId="77777777" w:rsidR="00132472" w:rsidRDefault="00132472">
      <w:pPr>
        <w:spacing w:after="300"/>
      </w:pPr>
    </w:p>
    <w:p w14:paraId="126DC44F" w14:textId="77777777" w:rsidR="00132472" w:rsidRDefault="00000000">
      <w:pPr>
        <w:pBdr>
          <w:bottom w:val="single" w:sz="8" w:space="4" w:color="1E8A5F"/>
        </w:pBdr>
        <w:spacing w:before="200" w:after="140"/>
      </w:pPr>
      <w:r>
        <w:rPr>
          <w:b/>
          <w:bCs/>
          <w:color w:val="0F5C3C"/>
          <w:sz w:val="27"/>
          <w:szCs w:val="27"/>
        </w:rPr>
        <w:t>Why This Matters</w:t>
      </w:r>
    </w:p>
    <w:p w14:paraId="1810C778" w14:textId="77777777" w:rsidR="00132472" w:rsidRDefault="00000000">
      <w:pPr>
        <w:spacing w:after="180" w:line="330" w:lineRule="auto"/>
      </w:pPr>
      <w:r>
        <w:rPr>
          <w:color w:val="222222"/>
          <w:sz w:val="22"/>
          <w:szCs w:val="22"/>
        </w:rPr>
        <w:t>These systems are what make pharma's scale possible — without standardized data formats and dictionaries, no regulator could compare results across thousands of trials, and no company could track a single batch through a global supply chain. Recognising these names helps you understand what colleagues mean when they mention them in daily conversation.</w:t>
      </w:r>
    </w:p>
    <w:p w14:paraId="56C105FB" w14:textId="77777777" w:rsidR="00132472" w:rsidRDefault="00000000">
      <w:pPr>
        <w:pBdr>
          <w:left w:val="single" w:sz="16" w:space="8" w:color="1E8A5F"/>
        </w:pBdr>
        <w:shd w:val="clear" w:color="auto" w:fill="E8F5EE"/>
        <w:spacing w:before="100" w:after="180"/>
        <w:ind w:left="200"/>
      </w:pPr>
      <w:r>
        <w:rPr>
          <w:i/>
          <w:iCs/>
          <w:color w:val="0F5C3C"/>
          <w:sz w:val="19"/>
          <w:szCs w:val="19"/>
        </w:rPr>
        <w:t>Reflect: Which of these six systems do you think you'd interact with most, based on the career path you're interested in?</w:t>
      </w:r>
    </w:p>
    <w:sectPr w:rsidR="00132472">
      <w:pgSz w:w="12240" w:h="15840"/>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E1B85"/>
    <w:multiLevelType w:val="hybridMultilevel"/>
    <w:tmpl w:val="E1A05564"/>
    <w:lvl w:ilvl="0" w:tplc="55DC2F7E">
      <w:start w:val="1"/>
      <w:numFmt w:val="bullet"/>
      <w:lvlText w:val="•"/>
      <w:lvlJc w:val="left"/>
      <w:pPr>
        <w:ind w:left="504" w:hanging="288"/>
      </w:pPr>
    </w:lvl>
    <w:lvl w:ilvl="1" w:tplc="3D9C129C">
      <w:numFmt w:val="decimal"/>
      <w:lvlText w:val=""/>
      <w:lvlJc w:val="left"/>
    </w:lvl>
    <w:lvl w:ilvl="2" w:tplc="724AFDFE">
      <w:numFmt w:val="decimal"/>
      <w:lvlText w:val=""/>
      <w:lvlJc w:val="left"/>
    </w:lvl>
    <w:lvl w:ilvl="3" w:tplc="C74AF7CC">
      <w:numFmt w:val="decimal"/>
      <w:lvlText w:val=""/>
      <w:lvlJc w:val="left"/>
    </w:lvl>
    <w:lvl w:ilvl="4" w:tplc="E17A928C">
      <w:numFmt w:val="decimal"/>
      <w:lvlText w:val=""/>
      <w:lvlJc w:val="left"/>
    </w:lvl>
    <w:lvl w:ilvl="5" w:tplc="6E3C82E0">
      <w:numFmt w:val="decimal"/>
      <w:lvlText w:val=""/>
      <w:lvlJc w:val="left"/>
    </w:lvl>
    <w:lvl w:ilvl="6" w:tplc="6D2EFD04">
      <w:numFmt w:val="decimal"/>
      <w:lvlText w:val=""/>
      <w:lvlJc w:val="left"/>
    </w:lvl>
    <w:lvl w:ilvl="7" w:tplc="36B8B94C">
      <w:numFmt w:val="decimal"/>
      <w:lvlText w:val=""/>
      <w:lvlJc w:val="left"/>
    </w:lvl>
    <w:lvl w:ilvl="8" w:tplc="4E3A65A6">
      <w:numFmt w:val="decimal"/>
      <w:lvlText w:val=""/>
      <w:lvlJc w:val="left"/>
    </w:lvl>
  </w:abstractNum>
  <w:abstractNum w:abstractNumId="1" w15:restartNumberingAfterBreak="0">
    <w:nsid w:val="67881930"/>
    <w:multiLevelType w:val="hybridMultilevel"/>
    <w:tmpl w:val="3DF08A0A"/>
    <w:lvl w:ilvl="0" w:tplc="1AF2FDE0">
      <w:start w:val="1"/>
      <w:numFmt w:val="bullet"/>
      <w:lvlText w:val="●"/>
      <w:lvlJc w:val="left"/>
      <w:pPr>
        <w:ind w:left="720" w:hanging="360"/>
      </w:pPr>
    </w:lvl>
    <w:lvl w:ilvl="1" w:tplc="34AE717A">
      <w:start w:val="1"/>
      <w:numFmt w:val="bullet"/>
      <w:lvlText w:val="○"/>
      <w:lvlJc w:val="left"/>
      <w:pPr>
        <w:ind w:left="1440" w:hanging="360"/>
      </w:pPr>
    </w:lvl>
    <w:lvl w:ilvl="2" w:tplc="C7CA3564">
      <w:start w:val="1"/>
      <w:numFmt w:val="bullet"/>
      <w:lvlText w:val="■"/>
      <w:lvlJc w:val="left"/>
      <w:pPr>
        <w:ind w:left="2160" w:hanging="360"/>
      </w:pPr>
    </w:lvl>
    <w:lvl w:ilvl="3" w:tplc="9808DF22">
      <w:start w:val="1"/>
      <w:numFmt w:val="bullet"/>
      <w:lvlText w:val="●"/>
      <w:lvlJc w:val="left"/>
      <w:pPr>
        <w:ind w:left="2880" w:hanging="360"/>
      </w:pPr>
    </w:lvl>
    <w:lvl w:ilvl="4" w:tplc="DBB428FA">
      <w:start w:val="1"/>
      <w:numFmt w:val="bullet"/>
      <w:lvlText w:val="○"/>
      <w:lvlJc w:val="left"/>
      <w:pPr>
        <w:ind w:left="3600" w:hanging="360"/>
      </w:pPr>
    </w:lvl>
    <w:lvl w:ilvl="5" w:tplc="653E6816">
      <w:start w:val="1"/>
      <w:numFmt w:val="bullet"/>
      <w:lvlText w:val="■"/>
      <w:lvlJc w:val="left"/>
      <w:pPr>
        <w:ind w:left="4320" w:hanging="360"/>
      </w:pPr>
    </w:lvl>
    <w:lvl w:ilvl="6" w:tplc="9EFCCC2E">
      <w:start w:val="1"/>
      <w:numFmt w:val="bullet"/>
      <w:lvlText w:val="●"/>
      <w:lvlJc w:val="left"/>
      <w:pPr>
        <w:ind w:left="5040" w:hanging="360"/>
      </w:pPr>
    </w:lvl>
    <w:lvl w:ilvl="7" w:tplc="972E5902">
      <w:start w:val="1"/>
      <w:numFmt w:val="bullet"/>
      <w:lvlText w:val="●"/>
      <w:lvlJc w:val="left"/>
      <w:pPr>
        <w:ind w:left="5760" w:hanging="360"/>
      </w:pPr>
    </w:lvl>
    <w:lvl w:ilvl="8" w:tplc="0FC42FF6">
      <w:start w:val="1"/>
      <w:numFmt w:val="bullet"/>
      <w:lvlText w:val="●"/>
      <w:lvlJc w:val="left"/>
      <w:pPr>
        <w:ind w:left="6480" w:hanging="360"/>
      </w:pPr>
    </w:lvl>
  </w:abstractNum>
  <w:num w:numId="1" w16cid:durableId="1003438443">
    <w:abstractNumId w:val="1"/>
    <w:lvlOverride w:ilvl="0">
      <w:startOverride w:val="1"/>
    </w:lvlOverride>
  </w:num>
  <w:num w:numId="2" w16cid:durableId="1411581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472"/>
    <w:rsid w:val="00132472"/>
    <w:rsid w:val="00573FF6"/>
    <w:rsid w:val="005A0906"/>
    <w:rsid w:val="00882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3A32"/>
  <w15:docId w15:val="{DF64A3FD-0116-42FB-8671-3BA4ABED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df3522f-8c42-44b0-bea3-7f162a60ea50}" enabled="1" method="Standard" siteId="{63982aff-fb6c-4c22-973b-70e4acfb63e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735</Words>
  <Characters>4194</Characters>
  <Application>Microsoft Office Word</Application>
  <DocSecurity>0</DocSecurity>
  <Lines>34</Lines>
  <Paragraphs>9</Paragraphs>
  <ScaleCrop>false</ScaleCrop>
  <Company>GlaxoSmithKline</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Panuganti Hanumantha Rao</cp:lastModifiedBy>
  <cp:revision>3</cp:revision>
  <dcterms:created xsi:type="dcterms:W3CDTF">2026-08-04T05:38:00Z</dcterms:created>
  <dcterms:modified xsi:type="dcterms:W3CDTF">2026-08-04T06:49:00Z</dcterms:modified>
</cp:coreProperties>
</file>