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/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_tit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/>
        <w:jc w:val="center"/>
      </w:pPr>
      <w:r>
        <w:rPr>
          <w:rFonts w:ascii="Noto Sans CJK SC" w:hAnsi="Noto Sans CJK SC"/>
          <w:b/>
          <w:color w:val="17324D"/>
          <w:sz w:val="48"/>
        </w:rPr>
        <w:t>codex_fix 本条对话修改工作说明</w:t>
      </w:r>
    </w:p>
    <w:p>
      <w:pPr>
        <w:jc w:val="center"/>
      </w:pPr>
      <w:r>
        <w:rPr>
          <w:rFonts w:ascii="Noto Sans CJK SC" w:hAnsi="Noto Sans CJK SC"/>
          <w:color w:val="247F78"/>
          <w:sz w:val="26"/>
        </w:rPr>
        <w:t>VRX WAM-V 自主航行系统：从能运行到可解释、可验收</w:t>
      </w:r>
    </w:p>
    <w:p>
      <w:pPr>
        <w:spacing w:line="300" w:lineRule="auto" w:after="100"/>
      </w:pPr>
      <w:r>
        <w:rPr>
          <w:rFonts w:ascii="Noto Sans CJK SC" w:hAnsi="Noto Sans CJK SC"/>
          <w:b w:val="0"/>
          <w:sz w:val="21"/>
        </w:rPr>
        <w:t>本文集中说明本条对话中对 codex_fix 所做的工作，突出修改范围、实现链路、可视化结果和自动验收证据。</w:t>
      </w:r>
    </w:p>
    <w:p>
      <w:r>
        <w:br w:type="page"/>
      </w:r>
    </w:p>
    <w:p>
      <w:pPr>
        <w:pStyle w:val="Heading1"/>
        <w:spacing w:before="200" w:after="100"/>
      </w:pPr>
      <w:r>
        <w:t>一、工作目标与总体改造</w:t>
      </w:r>
    </w:p>
    <w:p>
      <w:pPr>
        <w:spacing w:line="300" w:lineRule="auto" w:after="100"/>
      </w:pPr>
      <w:r>
        <w:rPr>
          <w:rFonts w:ascii="Noto Sans CJK SC" w:hAnsi="Noto Sans CJK SC"/>
          <w:b w:val="0"/>
          <w:sz w:val="21"/>
        </w:rPr>
        <w:t>本次工作不是只增加一个避障功能，而是围绕 VRX WAM-V 自主航行任务建立一条完整的工程闭环：感知与定位提供稳定状态，滚动地图承载环境记忆，规划与控制负责完成航点，动态目标和 COLREGs 提供会遇监督，RViz 与自动评测负责解释和验收。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7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_c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SC" w:hAnsi="Noto Sans CJK SC"/>
          <w:color w:val="60707D"/>
          <w:sz w:val="18"/>
        </w:rPr>
        <w:t>图 1  仿真场景：工作围绕同一套 WAM-V 场景、控制器和验收脚本展开</w:t>
      </w:r>
    </w:p>
    <w:p>
      <w:pPr>
        <w:pStyle w:val="ListBullet"/>
        <w:spacing w:after="40" w:line="276" w:lineRule="auto"/>
      </w:pPr>
      <w:r>
        <w:rPr>
          <w:rFonts w:ascii="Noto Sans CJK SC" w:hAnsi="Noto Sans CJK SC"/>
          <w:sz w:val="20"/>
        </w:rPr>
        <w:t>统一推荐启动入口：colregs_learning.launch.py。</w:t>
      </w:r>
    </w:p>
    <w:p>
      <w:pPr>
        <w:pStyle w:val="ListBullet"/>
        <w:spacing w:after="40" w:line="276" w:lineRule="auto"/>
      </w:pPr>
      <w:r>
        <w:rPr>
          <w:rFonts w:ascii="Noto Sans CJK SC" w:hAnsi="Noto Sans CJK SC"/>
          <w:sz w:val="20"/>
        </w:rPr>
        <w:t>将算法、场景、RViz、测试和评测脚本纳入同一条运行主链。</w:t>
      </w:r>
    </w:p>
    <w:p>
      <w:pPr>
        <w:pStyle w:val="ListBullet"/>
        <w:spacing w:after="40" w:line="276" w:lineRule="auto"/>
      </w:pPr>
      <w:r>
        <w:rPr>
          <w:rFonts w:ascii="Noto Sans CJK SC" w:hAnsi="Noto Sans CJK SC"/>
          <w:sz w:val="20"/>
        </w:rPr>
        <w:t>把“是否到达”扩展为“为什么这样走、是否安全、是否可重复验证”。</w:t>
      </w:r>
    </w:p>
    <w:p>
      <w:pPr>
        <w:pStyle w:val="Heading1"/>
        <w:spacing w:before="200" w:after="100"/>
      </w:pPr>
      <w:r>
        <w:t>二、具体修改工作量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87F7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color w:val="FFFFFF"/>
                <w:sz w:val="21"/>
              </w:rPr>
              <w:t>工作模块</w:t>
            </w:r>
          </w:p>
        </w:tc>
        <w:tc>
          <w:tcPr>
            <w:tcW w:type="dxa" w:w="3213"/>
            <w:shd w:fill="187F7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color w:val="FFFFFF"/>
                <w:sz w:val="21"/>
              </w:rPr>
              <w:t>完成的修改内容</w:t>
            </w:r>
          </w:p>
        </w:tc>
        <w:tc>
          <w:tcPr>
            <w:tcW w:type="dxa" w:w="3213"/>
            <w:shd w:fill="187F7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color w:val="FFFFFF"/>
                <w:sz w:val="21"/>
              </w:rPr>
              <w:t>形成的结果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color w:val="24324A"/>
                <w:sz w:val="19"/>
              </w:rPr>
              <w:t>感知与定位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color w:val="24324A"/>
                <w:sz w:val="19"/>
              </w:rPr>
              <w:t>接入 robot_localization EKF；增加 PlanarEKF 健康回退；处理三维激光水面点；增加浮标候选聚类与动态目标跟踪。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color w:val="24324A"/>
                <w:sz w:val="19"/>
              </w:rPr>
              <w:t>定位状态更稳定，感知结果可在 RViz 检查。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color w:val="24324A"/>
                <w:sz w:val="19"/>
              </w:rPr>
              <w:t>地图与规划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color w:val="24324A"/>
                <w:sz w:val="19"/>
              </w:rPr>
              <w:t>建立 100 m 滚动占据栅格；加入障碍衰减、安全膨胀、Dubins State Lattice A*、40 m 子目标和在线重规划。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color w:val="24324A"/>
                <w:sz w:val="19"/>
              </w:rPr>
              <w:t>静态障碍具备记忆、绕行和 fallback 监控能力。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color w:val="24324A"/>
                <w:sz w:val="19"/>
              </w:rPr>
              <w:t>控制与规则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color w:val="24324A"/>
                <w:sz w:val="19"/>
              </w:rPr>
              <w:t>实现 ILOS + PID 主闭环、曲率预瞄限速、艏摇前馈、安全制动与倒车恢复；加入 CPA/TCPA 和教学型 COLREGs 监督。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color w:val="24324A"/>
                <w:sz w:val="19"/>
              </w:rPr>
              <w:t>静态避障和动态会遇分层处理。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color w:val="24324A"/>
                <w:sz w:val="19"/>
              </w:rPr>
              <w:t>场景与运行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color w:val="24324A"/>
                <w:sz w:val="19"/>
              </w:rPr>
              <w:t>整合 Wayfinding、WAM-V、12 枚红绿浮标、2 艘动态目标船、中文 RViz 配置和仿真独占锁。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color w:val="24324A"/>
                <w:sz w:val="19"/>
              </w:rPr>
              <w:t>启动入口统一，重复启动和场景冲突可控。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color w:val="24324A"/>
                <w:sz w:val="19"/>
              </w:rPr>
              <w:t>评测与交付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color w:val="24324A"/>
                <w:sz w:val="19"/>
              </w:rPr>
              <w:t>增加自动评测脚本、硬性门槛、status 输出、源码/配置/模型测试和本次汇报材料。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color w:val="24324A"/>
                <w:sz w:val="19"/>
              </w:rPr>
              <w:t>结果可量化、可复盘、可回归。</w:t>
            </w:r>
          </w:p>
        </w:tc>
      </w:tr>
    </w:tbl>
    <w:p/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420000" cy="22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dar_c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2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SC" w:hAnsi="Noto Sans CJK SC"/>
          <w:color w:val="60707D"/>
          <w:sz w:val="18"/>
        </w:rPr>
        <w:t>图 2  激光与障碍感知结果：点云、岸线和障碍信息进入可视化链路</w:t>
      </w:r>
    </w:p>
    <w:p>
      <w:pPr>
        <w:pStyle w:val="Heading1"/>
        <w:spacing w:before="200" w:after="100"/>
      </w:pPr>
      <w:r>
        <w:t>三、整体流程</w:t>
      </w:r>
    </w:p>
    <w:p>
      <w:pPr>
        <w:spacing w:line="300" w:lineRule="auto" w:after="100"/>
      </w:pPr>
      <w:r>
        <w:rPr>
          <w:rFonts w:ascii="Noto Sans CJK SC" w:hAnsi="Noto Sans CJK SC"/>
          <w:b w:val="0"/>
          <w:sz w:val="21"/>
        </w:rPr>
        <w:t>本次修改形成的运行流程如下：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fill="187F7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color w:val="FFFFFF"/>
                <w:sz w:val="17"/>
              </w:rPr>
              <w:t>需求拆分</w:t>
            </w:r>
          </w:p>
        </w:tc>
        <w:tc>
          <w:tcPr>
            <w:tcW w:type="dxa" w:w="1377"/>
            <w:shd w:fill="187F7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color w:val="FFFFFF"/>
                <w:sz w:val="17"/>
              </w:rPr>
              <w:t>ROS2 集成</w:t>
            </w:r>
          </w:p>
        </w:tc>
        <w:tc>
          <w:tcPr>
            <w:tcW w:type="dxa" w:w="1377"/>
            <w:shd w:fill="187F7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color w:val="FFFFFF"/>
                <w:sz w:val="17"/>
              </w:rPr>
              <w:t>启动场景</w:t>
            </w:r>
          </w:p>
        </w:tc>
        <w:tc>
          <w:tcPr>
            <w:tcW w:type="dxa" w:w="1377"/>
            <w:shd w:fill="187F7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color w:val="FFFFFF"/>
                <w:sz w:val="17"/>
              </w:rPr>
              <w:t>状态估计</w:t>
            </w:r>
          </w:p>
        </w:tc>
        <w:tc>
          <w:tcPr>
            <w:tcW w:type="dxa" w:w="1377"/>
            <w:shd w:fill="187F7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color w:val="FFFFFF"/>
                <w:sz w:val="17"/>
              </w:rPr>
              <w:t>地图规划</w:t>
            </w:r>
          </w:p>
        </w:tc>
        <w:tc>
          <w:tcPr>
            <w:tcW w:type="dxa" w:w="1377"/>
            <w:shd w:fill="187F7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color w:val="FFFFFF"/>
                <w:sz w:val="17"/>
              </w:rPr>
              <w:t>控制监督</w:t>
            </w:r>
          </w:p>
        </w:tc>
        <w:tc>
          <w:tcPr>
            <w:tcW w:type="dxa" w:w="1377"/>
            <w:shd w:fill="187F7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color w:val="FFFFFF"/>
                <w:sz w:val="17"/>
              </w:rPr>
              <w:t>可视化验收</w:t>
            </w:r>
          </w:p>
        </w:tc>
      </w:tr>
      <w:tr>
        <w:tc>
          <w:tcPr>
            <w:tcW w:type="dxa" w:w="137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color w:val="24324A"/>
                <w:sz w:val="17"/>
              </w:rPr>
              <w:t>定位/地图/规划/控制/规则</w:t>
            </w:r>
          </w:p>
        </w:tc>
        <w:tc>
          <w:tcPr>
            <w:tcW w:type="dxa" w:w="137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color w:val="24324A"/>
                <w:sz w:val="17"/>
              </w:rPr>
              <w:t>launch + 参数 + 节点</w:t>
            </w:r>
          </w:p>
        </w:tc>
        <w:tc>
          <w:tcPr>
            <w:tcW w:type="dxa" w:w="137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color w:val="24324A"/>
                <w:sz w:val="17"/>
              </w:rPr>
              <w:t>Wayfinding + WAM-V</w:t>
            </w:r>
          </w:p>
        </w:tc>
        <w:tc>
          <w:tcPr>
            <w:tcW w:type="dxa" w:w="137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color w:val="24324A"/>
                <w:sz w:val="17"/>
              </w:rPr>
              <w:t>EKF / PlanarEKF</w:t>
            </w:r>
          </w:p>
        </w:tc>
        <w:tc>
          <w:tcPr>
            <w:tcW w:type="dxa" w:w="137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color w:val="24324A"/>
                <w:sz w:val="17"/>
              </w:rPr>
              <w:t>栅格 + Lattice</w:t>
            </w:r>
          </w:p>
        </w:tc>
        <w:tc>
          <w:tcPr>
            <w:tcW w:type="dxa" w:w="137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color w:val="24324A"/>
                <w:sz w:val="17"/>
              </w:rPr>
              <w:t>ILOS/PID + COLREGs</w:t>
            </w:r>
          </w:p>
        </w:tc>
        <w:tc>
          <w:tcPr>
            <w:tcW w:type="dxa" w:w="137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color w:val="24324A"/>
                <w:sz w:val="17"/>
              </w:rPr>
              <w:t>RViz + 自动评测</w:t>
            </w:r>
          </w:p>
        </w:tc>
      </w:tr>
    </w:tbl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28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h_c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SC" w:hAnsi="Noto Sans CJK SC"/>
          <w:color w:val="60707D"/>
          <w:sz w:val="18"/>
        </w:rPr>
        <w:t>图 3  路径跟踪结果：规划路径、实际轨迹和横向误差可被同时检查</w:t>
      </w:r>
    </w:p>
    <w:p>
      <w:pPr>
        <w:spacing w:line="300" w:lineRule="auto" w:after="100"/>
      </w:pPr>
      <w:r>
        <w:rPr>
          <w:rFonts w:ascii="Noto Sans CJK SC" w:hAnsi="Noto Sans CJK SC"/>
          <w:b w:val="0"/>
          <w:sz w:val="21"/>
        </w:rPr>
        <w:t>关键控制逻辑：静态障碍进入滚动地图和 State Lattice；动态目标经过 alpha-beta 跟踪、CPA/TCPA 计算和会遇分类后，输出右转偏置与降速缩放；最终由安全层和推进器控制完成执行。</w:t>
      </w:r>
    </w:p>
    <w:p>
      <w:pPr>
        <w:pStyle w:val="Heading1"/>
        <w:spacing w:before="200" w:after="100"/>
      </w:pPr>
      <w:r>
        <w:t>四、图文可视化与结果证据</w:t>
      </w:r>
    </w:p>
    <w:p>
      <w:pPr>
        <w:pStyle w:val="Heading2"/>
        <w:spacing w:before="120" w:after="100"/>
      </w:pPr>
      <w:r>
        <w:t>1. 路径与轨迹</w:t>
      </w:r>
    </w:p>
    <w:p>
      <w:pPr>
        <w:spacing w:line="300" w:lineRule="auto" w:after="100"/>
      </w:pPr>
      <w:r>
        <w:rPr>
          <w:rFonts w:ascii="Noto Sans CJK SC" w:hAnsi="Noto Sans CJK SC"/>
          <w:b w:val="0"/>
          <w:sz w:val="21"/>
        </w:rPr>
        <w:t>通过 RViz 同时展示规划路径、实际轨迹、横向误差和目标点，能够解释船舶为何偏转、是否贴线以及是否发生异常绕行。</w:t>
      </w:r>
    </w:p>
    <w:p>
      <w:pPr>
        <w:pStyle w:val="Heading2"/>
        <w:spacing w:before="120" w:after="100"/>
      </w:pPr>
      <w:r>
        <w:t>2. 障碍与浮标</w:t>
      </w:r>
    </w:p>
    <w:p>
      <w:pPr>
        <w:spacing w:line="300" w:lineRule="auto" w:after="100"/>
      </w:pPr>
      <w:r>
        <w:rPr>
          <w:rFonts w:ascii="Noto Sans CJK SC" w:hAnsi="Noto Sans CJK SC"/>
          <w:b w:val="0"/>
          <w:sz w:val="21"/>
        </w:rPr>
        <w:t>三维激光经过水面滤除和聚类后，形成浮标候选与障碍信息；Marker 采用定点删除，避免旧标记残留和周期性闪烁。</w:t>
      </w:r>
    </w:p>
    <w:p>
      <w:pPr>
        <w:pStyle w:val="Heading2"/>
        <w:spacing w:before="120" w:after="100"/>
      </w:pPr>
      <w:r>
        <w:t>3. 动态目标与 COLREGs</w:t>
      </w:r>
    </w:p>
    <w:p>
      <w:pPr>
        <w:spacing w:line="300" w:lineRule="auto" w:after="100"/>
      </w:pPr>
      <w:r>
        <w:rPr>
          <w:rFonts w:ascii="Noto Sans CJK SC" w:hAnsi="Noto Sans CJK SC"/>
          <w:b w:val="0"/>
          <w:sz w:val="21"/>
        </w:rPr>
        <w:t>动态船单独显示跟踪框、风险颜色、TCPA、DCPA 和会遇类型。动态目标不直接写成静态地图墙，同时保留原始激光的近距离安全检查。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592000" cy="172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dar_c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17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SC" w:hAnsi="Noto Sans CJK SC"/>
          <w:color w:val="60707D"/>
          <w:sz w:val="18"/>
        </w:rPr>
        <w:t>图 4  感知可视化：让障碍、岸线和候选目标成为可检查证据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592000" cy="172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h_c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17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SC" w:hAnsi="Noto Sans CJK SC"/>
          <w:color w:val="60707D"/>
          <w:sz w:val="18"/>
        </w:rPr>
        <w:t>图 5  控制可视化：让规划路径和实际运动结果形成对照</w:t>
      </w:r>
    </w:p>
    <w:p>
      <w:r>
        <w:br w:type="page"/>
      </w:r>
    </w:p>
    <w:p>
      <w:pPr>
        <w:pStyle w:val="Heading1"/>
        <w:spacing w:before="200" w:after="100"/>
      </w:pPr>
      <w:r>
        <w:t>五、自动验收结果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2C78A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2409"/>
            <w:shd w:fill="2C78A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color w:val="FFFFFF"/>
                <w:sz w:val="21"/>
              </w:rPr>
              <w:t>结果</w:t>
            </w:r>
          </w:p>
        </w:tc>
        <w:tc>
          <w:tcPr>
            <w:tcW w:type="dxa" w:w="2409"/>
            <w:shd w:fill="2C78A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2409"/>
            <w:shd w:fill="2C78A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color w:val="FFFFFF"/>
                <w:sz w:val="21"/>
              </w:rPr>
              <w:t>结果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color w:val="24324A"/>
                <w:sz w:val="20"/>
              </w:rPr>
              <w:t>官方任务完成率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color w:val="187F78"/>
                <w:sz w:val="20"/>
              </w:rPr>
              <w:t>100%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color w:val="24324A"/>
                <w:sz w:val="20"/>
              </w:rPr>
              <w:t>碰撞次数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color w:val="187F78"/>
                <w:sz w:val="20"/>
              </w:rPr>
              <w:t>0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color w:val="24324A"/>
                <w:sz w:val="20"/>
              </w:rPr>
              <w:t>官方平均误差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color w:val="187F78"/>
                <w:sz w:val="20"/>
              </w:rPr>
              <w:t>1.076 m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color w:val="24324A"/>
                <w:sz w:val="20"/>
              </w:rPr>
              <w:t>最小净空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color w:val="187F78"/>
                <w:sz w:val="20"/>
              </w:rPr>
              <w:t>5.952 m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color w:val="24324A"/>
                <w:sz w:val="20"/>
              </w:rPr>
              <w:t>动态目标最大跟踪数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color w:val="187F78"/>
                <w:sz w:val="20"/>
              </w:rPr>
              <w:t>2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color w:val="24324A"/>
                <w:sz w:val="20"/>
              </w:rPr>
              <w:t>COLREGs 激活样本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color w:val="187F78"/>
                <w:sz w:val="20"/>
              </w:rPr>
              <w:t>189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color w:val="24324A"/>
                <w:sz w:val="20"/>
              </w:rPr>
              <w:t>State Lattice fallback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color w:val="187F78"/>
                <w:sz w:val="20"/>
              </w:rPr>
              <w:t>0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color w:val="24324A"/>
                <w:sz w:val="20"/>
              </w:rPr>
              <w:t>最大规划耗时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color w:val="187F78"/>
                <w:sz w:val="20"/>
              </w:rPr>
              <w:t>6.151 ms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color w:val="24324A"/>
                <w:sz w:val="20"/>
              </w:rPr>
              <w:t>最大艏摇角速度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color w:val="187F78"/>
                <w:sz w:val="20"/>
              </w:rPr>
              <w:t>11.244 deg/s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 w:val="0"/>
                <w:color w:val="24324A"/>
                <w:sz w:val="20"/>
              </w:rPr>
              <w:t>源码/配置/模型测试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/>
                <w:b/>
                <w:color w:val="187F78"/>
                <w:sz w:val="20"/>
              </w:rPr>
              <w:t>172 passed</w:t>
            </w:r>
          </w:p>
        </w:tc>
      </w:tr>
    </w:tbl>
    <w:p>
      <w:pPr>
        <w:spacing w:line="300" w:lineRule="auto" w:after="100"/>
      </w:pPr>
      <w:r>
        <w:rPr>
          <w:rFonts w:ascii="Noto Sans CJK SC" w:hAnsi="Noto Sans CJK SC"/>
          <w:b/>
          <w:sz w:val="21"/>
        </w:rPr>
        <w:t>自动验收命令：bash codex_fix/scripts/run_colregs_learning.sh。硬性检查覆盖三航点完成、0 碰撞、EKF 健康、滚动地图有效、动态目标数量、COLREGs 激活次数和 fallback 状态。</w:t>
      </w:r>
    </w:p>
    <w:p>
      <w:pPr>
        <w:pStyle w:val="Heading1"/>
        <w:spacing w:before="200" w:after="100"/>
      </w:pPr>
      <w:r>
        <w:t>六、工作结论与边界</w:t>
      </w:r>
    </w:p>
    <w:p>
      <w:pPr>
        <w:pStyle w:val="ListBullet"/>
        <w:spacing w:after="40" w:line="276" w:lineRule="auto"/>
      </w:pPr>
      <w:r>
        <w:rPr>
          <w:rFonts w:ascii="Noto Sans CJK SC" w:hAnsi="Noto Sans CJK SC"/>
          <w:sz w:val="20"/>
        </w:rPr>
        <w:t>体系化：从单脚本控制扩展为包含 launch、配置、模型、算法、脚本和测试的 ROS2 工程包。</w:t>
      </w:r>
    </w:p>
    <w:p>
      <w:pPr>
        <w:pStyle w:val="ListBullet"/>
        <w:spacing w:after="40" w:line="276" w:lineRule="auto"/>
      </w:pPr>
      <w:r>
        <w:rPr>
          <w:rFonts w:ascii="Noto Sans CJK SC" w:hAnsi="Noto Sans CJK SC"/>
          <w:sz w:val="20"/>
        </w:rPr>
        <w:t>可解释：路径、轨迹、误差、占据栅格、浮标候选、动态目标和控制状态均有可视化出口。</w:t>
      </w:r>
    </w:p>
    <w:p>
      <w:pPr>
        <w:pStyle w:val="ListBullet"/>
        <w:spacing w:after="40" w:line="276" w:lineRule="auto"/>
      </w:pPr>
      <w:r>
        <w:rPr>
          <w:rFonts w:ascii="Noto Sans CJK SC" w:hAnsi="Noto Sans CJK SC"/>
          <w:sz w:val="20"/>
        </w:rPr>
        <w:t>可回归：把完成率、碰撞、净空、误差、耗时、动态目标和 COLREGs 激活写成验收门槛。</w:t>
      </w:r>
    </w:p>
    <w:p>
      <w:pPr>
        <w:pStyle w:val="ListBullet"/>
        <w:spacing w:after="40" w:line="276" w:lineRule="auto"/>
      </w:pPr>
      <w:r>
        <w:rPr>
          <w:rFonts w:ascii="Noto Sans CJK SC" w:hAnsi="Noto Sans CJK SC"/>
          <w:sz w:val="20"/>
        </w:rPr>
        <w:t>边界：动态船检测使用仿真专用 Topic；激光不能识别红绿语义；COLREGs 属于教学监督层，不是认证避碰系统。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2632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_tit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3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SC" w:hAnsi="Noto Sans CJK SC"/>
          <w:color w:val="60707D"/>
          <w:sz w:val="18"/>
        </w:rPr>
        <w:t>图 6  本次工作的最终定位：面向 VRX 学习和后续研究的可验证实验平台</w:t>
      </w:r>
    </w:p>
    <w:sectPr w:rsidR="00FC693F" w:rsidRPr="0006063C" w:rsidSect="00034616">
      <w:footerReference w:type="default" r:id="rId9"/>
      <w:pgSz w:w="11906" w:h="16838"/>
      <w:pgMar w:top="964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28C"/>
        <w:sz w:val="16"/>
      </w:rPr>
      <w:t xml:space="preserve">codex_fix 本条对话修改工作说明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/>
      <w:b/>
      <w:bCs/>
      <w:color w:val="1732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/>
      <w:b/>
      <w:bCs/>
      <w:color w:val="247F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codex_fix 本条对话修改工作说明</dc:title>
  <dc:subject/>
  <dc:creator>HanW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