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Budget Status — Show Summary scope</w:t>
      </w:r>
    </w:p>
    <w:p>
      <w:r>
        <w:t>06 September 2026 · Round 3 · Deployed v1.115.1</w:t>
      </w:r>
    </w:p>
    <w:p>
      <w:r>
        <w:t>Show Summary now controls all formatted ring/Fund, sector and department summaries in Composition tiles, Ledger rows and Proportional map. It starts unchecked and closes an open summary immediately when cleared. Selection and drills remain available.</w:t>
      </w:r>
    </w:p>
    <w:p>
      <w:r>
        <w:t>67/67 targeted live browser checks passed; 66/66 staged checks passed. All detailed results are in the dated workbook and evidence/results.json. GL-only release 20260906020630 over 20260905202533; no database or reporting-worker changes.</w:t>
      </w:r>
    </w:p>
    <w:p>
      <w:r>
        <w:drawing>
          <wp:inline xmlns:a="http://schemas.openxmlformats.org/drawingml/2006/main" xmlns:pic="http://schemas.openxmlformats.org/drawingml/2006/picture">
            <wp:extent cx="5669280" cy="3878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-default-o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80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