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Budget Status — Deep Test Review</w:t>
      </w:r>
    </w:p>
    <w:p>
      <w:r>
        <w:t>06 September 2026 · Round 4 · Local fixes validated against real read-only data and synthetic edge cases. Confirmed fixes deployed as GL 1.116.1; the print-permission policy remains unchanged pending the user decision.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Suite</w:t>
            </w:r>
          </w:p>
        </w:tc>
        <w:tc>
          <w:tcPr>
            <w:tcW w:type="dxa" w:w="4320"/>
          </w:tcPr>
          <w:p>
            <w:r>
              <w:t>Passed / tested</w:t>
            </w:r>
          </w:p>
        </w:tc>
      </w:tr>
      <w:tr>
        <w:tc>
          <w:tcPr>
            <w:tcW w:type="dxa" w:w="4320"/>
          </w:tcPr>
          <w:p>
            <w:r>
              <w:t>Live baseline browser</w:t>
            </w:r>
          </w:p>
        </w:tc>
        <w:tc>
          <w:tcPr>
            <w:tcW w:type="dxa" w:w="4320"/>
          </w:tcPr>
          <w:p>
            <w:r>
              <w:t>190 / 190</w:t>
            </w:r>
          </w:p>
        </w:tc>
      </w:tr>
      <w:tr>
        <w:tc>
          <w:tcPr>
            <w:tcW w:type="dxa" w:w="4320"/>
          </w:tcPr>
          <w:p>
            <w:r>
              <w:t>Live baseline reports</w:t>
            </w:r>
          </w:p>
        </w:tc>
        <w:tc>
          <w:tcPr>
            <w:tcW w:type="dxa" w:w="4320"/>
          </w:tcPr>
          <w:p>
            <w:r>
              <w:t>51 / 51</w:t>
            </w:r>
          </w:p>
        </w:tc>
      </w:tr>
      <w:tr>
        <w:tc>
          <w:tcPr>
            <w:tcW w:type="dxa" w:w="4320"/>
          </w:tcPr>
          <w:p>
            <w:r>
              <w:t>Fixed UI regression</w:t>
            </w:r>
          </w:p>
        </w:tc>
        <w:tc>
          <w:tcPr>
            <w:tcW w:type="dxa" w:w="4320"/>
          </w:tcPr>
          <w:p>
            <w:r>
              <w:t>190 / 190</w:t>
            </w:r>
          </w:p>
        </w:tc>
      </w:tr>
      <w:tr>
        <w:tc>
          <w:tcPr>
            <w:tcW w:type="dxa" w:w="4320"/>
          </w:tcPr>
          <w:p>
            <w:r>
              <w:t>Show Summary</w:t>
            </w:r>
          </w:p>
        </w:tc>
        <w:tc>
          <w:tcPr>
            <w:tcW w:type="dxa" w:w="4320"/>
          </w:tcPr>
          <w:p>
            <w:r>
              <w:t>66 / 66</w:t>
            </w:r>
          </w:p>
        </w:tc>
      </w:tr>
      <w:tr>
        <w:tc>
          <w:tcPr>
            <w:tcW w:type="dxa" w:w="4320"/>
          </w:tcPr>
          <w:p>
            <w:r>
              <w:t>Deep browser</w:t>
            </w:r>
          </w:p>
        </w:tc>
        <w:tc>
          <w:tcPr>
            <w:tcW w:type="dxa" w:w="4320"/>
          </w:tcPr>
          <w:p>
            <w:r>
              <w:t>40 / 40</w:t>
            </w:r>
          </w:p>
        </w:tc>
      </w:tr>
      <w:tr>
        <w:tc>
          <w:tcPr>
            <w:tcW w:type="dxa" w:w="4320"/>
          </w:tcPr>
          <w:p>
            <w:r>
              <w:t>Export formatting and pagination</w:t>
            </w:r>
          </w:p>
        </w:tc>
        <w:tc>
          <w:tcPr>
            <w:tcW w:type="dxa" w:w="4320"/>
          </w:tcPr>
          <w:p>
            <w:r>
              <w:t>85 / 85</w:t>
            </w:r>
          </w:p>
        </w:tc>
      </w:tr>
      <w:tr>
        <w:tc>
          <w:tcPr>
            <w:tcW w:type="dxa" w:w="4320"/>
          </w:tcPr>
          <w:p>
            <w:r>
              <w:t>PDF and PPT artifacts</w:t>
            </w:r>
          </w:p>
        </w:tc>
        <w:tc>
          <w:tcPr>
            <w:tcW w:type="dxa" w:w="4320"/>
          </w:tcPr>
          <w:p>
            <w:r>
              <w:t>24 / 24</w:t>
            </w:r>
          </w:p>
        </w:tc>
      </w:tr>
      <w:tr>
        <w:tc>
          <w:tcPr>
            <w:tcW w:type="dxa" w:w="4320"/>
          </w:tcPr>
          <w:p>
            <w:r>
              <w:t>Account access</w:t>
            </w:r>
          </w:p>
        </w:tc>
        <w:tc>
          <w:tcPr>
            <w:tcW w:type="dxa" w:w="4320"/>
          </w:tcPr>
          <w:p>
            <w:r>
              <w:t>7 / 10</w:t>
            </w:r>
          </w:p>
        </w:tc>
      </w:tr>
      <w:tr>
        <w:tc>
          <w:tcPr>
            <w:tcW w:type="dxa" w:w="4320"/>
          </w:tcPr>
          <w:p>
            <w:r>
              <w:t>Deployed browser</w:t>
            </w:r>
          </w:p>
        </w:tc>
        <w:tc>
          <w:tcPr>
            <w:tcW w:type="dxa" w:w="4320"/>
          </w:tcPr>
          <w:p>
            <w:r>
              <w:t>190 / 190</w:t>
            </w:r>
          </w:p>
        </w:tc>
      </w:tr>
      <w:tr>
        <w:tc>
          <w:tcPr>
            <w:tcW w:type="dxa" w:w="4320"/>
          </w:tcPr>
          <w:p>
            <w:r>
              <w:t>Deployed Show Summary</w:t>
            </w:r>
          </w:p>
        </w:tc>
        <w:tc>
          <w:tcPr>
            <w:tcW w:type="dxa" w:w="4320"/>
          </w:tcPr>
          <w:p>
            <w:r>
              <w:t>67 / 67</w:t>
            </w:r>
          </w:p>
        </w:tc>
      </w:tr>
      <w:tr>
        <w:tc>
          <w:tcPr>
            <w:tcW w:type="dxa" w:w="4320"/>
          </w:tcPr>
          <w:p>
            <w:r>
              <w:t>Deployed reports</w:t>
            </w:r>
          </w:p>
        </w:tc>
        <w:tc>
          <w:tcPr>
            <w:tcW w:type="dxa" w:w="4320"/>
          </w:tcPr>
          <w:p>
            <w:r>
              <w:t>51 / 51</w:t>
            </w:r>
          </w:p>
        </w:tc>
      </w:tr>
      <w:tr>
        <w:tc>
          <w:tcPr>
            <w:tcW w:type="dxa" w:w="4320"/>
          </w:tcPr>
          <w:p>
            <w:r>
              <w:t>Deployed deep browser</w:t>
            </w:r>
          </w:p>
        </w:tc>
        <w:tc>
          <w:tcPr>
            <w:tcW w:type="dxa" w:w="4320"/>
          </w:tcPr>
          <w:p>
            <w:r>
              <w:t>40 / 40</w:t>
            </w:r>
          </w:p>
        </w:tc>
      </w:tr>
      <w:tr>
        <w:tc>
          <w:tcPr>
            <w:tcW w:type="dxa" w:w="4320"/>
          </w:tcPr>
          <w:p>
            <w:r>
              <w:t>Entity exports</w:t>
            </w:r>
          </w:p>
        </w:tc>
        <w:tc>
          <w:tcPr>
            <w:tcW w:type="dxa" w:w="4320"/>
          </w:tcPr>
          <w:p>
            <w:r>
              <w:t>11 / 11</w:t>
            </w:r>
          </w:p>
        </w:tc>
      </w:tr>
    </w:tbl>
    <w:p>
      <w:r>
        <w:t>Additionally: live API baseline 144/144 assertions; report unit regression 4/4 tests. Baseline results describe the deployed version before these fixes. Fixed-UI and export results describe validated local changes; deployed suites repeat the key checks on GL 1.116.1.</w:t>
      </w:r>
    </w:p>
    <w:p>
      <w:pPr>
        <w:pStyle w:val="Heading1"/>
      </w:pPr>
      <w:r>
        <w:t>Confirmed fixes</w:t>
      </w:r>
    </w:p>
    <w:p>
      <w:pPr>
        <w:pStyle w:val="ListBullet"/>
      </w:pPr>
      <w:r>
        <w:t>Saved JSON null and unavailable browser storage no longer break Budget Status controls.</w:t>
      </w:r>
    </w:p>
    <w:p>
      <w:pPr>
        <w:pStyle w:val="ListBullet"/>
      </w:pPr>
      <w:r>
        <w:t>Older responses and failures cannot replace the newest request; choosing a valid cached period clears the old error and invalidates pending requests.</w:t>
      </w:r>
    </w:p>
    <w:p>
      <w:pPr>
        <w:pStyle w:val="ListBullet"/>
      </w:pPr>
      <w:r>
        <w:t>Search supports Enter/Space, criteria have accessible names, Entity buttons expose selection, and hover instructions follow Show Summary.</w:t>
      </w:r>
    </w:p>
    <w:p>
      <w:pPr>
        <w:pStyle w:val="ListBullet"/>
      </w:pPr>
      <w:r>
        <w:t>Collapsed Search displays configured Entity names; the report bridge now validates against configured active Entity values (SQL deployed; six regular exports passed; all-entity export results are recorded separately).</w:t>
      </w:r>
    </w:p>
    <w:p>
      <w:pPr>
        <w:pStyle w:val="ListBullet"/>
      </w:pPr>
      <w:r>
        <w:t>PDF/PPT numeric formatting matches dashboard rounding and automatic units. Long entries move intact onto continuation pages; actual page numbers are recalculated.</w:t>
      </w:r>
    </w:p>
    <w:p>
      <w:pPr>
        <w:pStyle w:val="ListBullet"/>
      </w:pPr>
      <w:r>
        <w:t>User-approved behavior: all-zero-budget sectors/departments show Ledger rows with No budget allocated, including report output. Show Summary remains effective in the fallback.</w:t>
      </w:r>
    </w:p>
    <w:p>
      <w:pPr>
        <w:pStyle w:val="Heading1"/>
      </w:pPr>
      <w:r>
        <w:t>Decision required</w:t>
      </w:r>
    </w:p>
    <w:p>
      <w:r>
        <w:t>The GL compatibility setting allows signed-in users without GL_RUN_BRIEFING_BOOK to queue reports. Cross-user report status and downloads return 404, including for another privileged user. Three strict-403 expectations therefore remain marked DECISION; this is not evidence of cross-user access. The user must choose whether Budget Status should require the dedicated print privilege or retain compatibility behavior. Temporary accounts and sessions were removed; cleanup logs are attached.</w:t>
      </w:r>
    </w:p>
    <w:p>
      <w:r>
        <w:t>The user explicitly authorized the built-in quick login after automatic approval review initially blocked the additional entity test. It was then run with that authorization; its results appear in the Entity exports suite. Deployed report SQL compiled successfully; the normal six-export regression passed.</w:t>
      </w:r>
    </w:p>
    <w:p>
      <w:pPr>
        <w:pStyle w:val="Heading1"/>
      </w:pPr>
      <w:r>
        <w:t>Suggested enhancements — not implemented</w:t>
      </w:r>
    </w:p>
    <w:p>
      <w:pPr>
        <w:pStyle w:val="ListBullet"/>
      </w:pPr>
      <w:r>
        <w:t>Executive exceptions: a short list of the sectors/departments with the lowest remaining funds or negative balances, with direct drill-through. Example: Capex — 3% remaining.</w:t>
      </w:r>
    </w:p>
    <w:p>
      <w:pPr>
        <w:pStyle w:val="ListBullet"/>
      </w:pPr>
      <w:r>
        <w:t>Data freshness: show the accounting period and last successful data refresh beside the total so executives can judge how current the figures are.</w:t>
      </w:r>
    </w:p>
    <w:p>
      <w:pPr>
        <w:pStyle w:val="ListBullet"/>
      </w:pPr>
      <w:r>
        <w:t>Visible filter chips: keep Entity, selected Sectors and Departments visible above results, with an individual clear action to make scope easier to understand.</w:t>
      </w:r>
    </w:p>
    <w:p>
      <w:pPr>
        <w:pStyle w:val="Heading1"/>
      </w:pPr>
      <w:r>
        <w:t>Evidence</w:t>
      </w:r>
    </w:p>
    <w:p>
      <w:pPr>
        <w:pStyle w:val="Heading2"/>
      </w:pPr>
      <w:r>
        <w:t>Approved zero-budget fallback</w:t>
      </w:r>
    </w:p>
    <w:p>
      <w:r>
        <w:drawing>
          <wp:inline xmlns:a="http://schemas.openxmlformats.org/drawingml/2006/main" xmlns:pic="http://schemas.openxmlformats.org/drawingml/2006/picture">
            <wp:extent cx="5760720" cy="29708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ero-budget-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08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English PDF sample</w:t>
      </w:r>
    </w:p>
    <w:p>
      <w:r>
        <w:drawing>
          <wp:inline xmlns:a="http://schemas.openxmlformats.org/drawingml/2006/main" xmlns:pic="http://schemas.openxmlformats.org/drawingml/2006/picture">
            <wp:extent cx="5760720" cy="40728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-ti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2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Arabic PDF sample</w:t>
      </w:r>
    </w:p>
    <w:p>
      <w:r>
        <w:drawing>
          <wp:inline xmlns:a="http://schemas.openxmlformats.org/drawingml/2006/main" xmlns:pic="http://schemas.openxmlformats.org/drawingml/2006/picture">
            <wp:extent cx="5760720" cy="40728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ti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2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Artifacts include 12 PDF/PPT files covering all three layouts in both languages, before/after edge results, live report samples, browser screenshots and account-cleanup logs. Production financial data is present in baseline evidence. No emails or messages were 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