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David" w:hAnsi="David"/>
          <w:b/>
          <w:color w:val="1F4E79"/>
          <w:sz w:val="32"/>
          <w:rtl w:val="1"/>
        </w:rPr>
        <w:t>פרק ממצאים: השוואה בין שאלון הפעלנות לסימולציה ההתנהגותית</w:t>
      </w:r>
    </w:p>
    <w:p>
      <w:pPr>
        <w:bidi/>
        <w:jc w:val="right"/>
      </w:pPr>
      <w:r>
        <w:rPr>
          <w:rFonts w:ascii="David" w:hAnsi="David"/>
          <w:b/>
          <w:color w:val="2F5496"/>
          <w:sz w:val="28"/>
          <w:rtl w:val="1"/>
        </w:rPr>
        <w:t>1. מדגם ושיטת הניתוח</w:t>
      </w:r>
    </w:p>
    <w:p>
      <w:pPr>
        <w:bidi/>
        <w:jc w:val="right"/>
      </w:pPr>
      <w:r>
        <w:rPr>
          <w:rFonts w:ascii="David" w:hAnsi="David"/>
          <w:b w:val="0"/>
          <w:sz w:val="22"/>
          <w:rtl w:val="1"/>
        </w:rPr>
        <w:t>הניתוח מבוסס על 1,235 תלמידי כיתה ז' אשר השלימו הן את שאלון הפעלנות (דיווח עצמי, סולם ליקרט 1–5) והן את הסימולציה ההתנהגותית (תרחיש פתוח שקודד ל-4 רמות SRL). התלמידים הותאמו בין שני המכשירים לפי שם מלא ובית ספר. תשובות הסימולציה קודדו לרמות 1 (פעלנות נמוכה) עד 4 (פעלנות גבוהה) בכל אחת מתשע השאלות, ושאלון הפעלנות הניב ציון לכל אחד מששת הממדים: מוטיבציה ורלוונטיות, תודעת צמיחה, יוזמה ואחריות, ויסות עצמי, מודעות עצמית ותמיכה וחוויות רגשיות.</w:t>
      </w:r>
    </w:p>
    <w:p>
      <w:pPr>
        <w:bidi/>
        <w:jc w:val="right"/>
      </w:pPr>
      <w:r>
        <w:rPr>
          <w:rFonts w:ascii="David" w:hAnsi="David"/>
          <w:b/>
          <w:color w:val="2F5496"/>
          <w:sz w:val="28"/>
          <w:rtl w:val="1"/>
        </w:rPr>
        <w:t>2. מיפוי שאלות הסימולציה לממדי הפעלנות</w:t>
      </w:r>
    </w:p>
    <w:p>
      <w:pPr>
        <w:bidi/>
        <w:jc w:val="right"/>
      </w:pPr>
      <w:r>
        <w:rPr>
          <w:rFonts w:ascii="David" w:hAnsi="David"/>
          <w:b w:val="0"/>
          <w:sz w:val="22"/>
          <w:rtl w:val="1"/>
        </w:rPr>
        <w:t>תשע שאלות הסימולציה מופו לששת ממדי השאלון על פי תוכנן, כמוצג בלוח 1.</w:t>
      </w:r>
    </w:p>
    <w:p>
      <w:pPr>
        <w:bidi/>
        <w:jc w:val="right"/>
      </w:pPr>
      <w:r>
        <w:rPr>
          <w:rFonts w:ascii="David" w:hAnsi="David"/>
          <w:b/>
          <w:sz w:val="20"/>
          <w:rtl w:val="1"/>
        </w:rPr>
        <w:t>לוח 1: מיפוי שאלות הסימולציה לממדי שאלון הפעלנות</w:t>
      </w:r>
    </w:p>
    <w:tbl>
      <w:tblPr>
        <w:tblStyle w:val="TableGrid"/>
        <w:tblW w:type="auto" w:w="0"/>
        <w:jc w:val="right"/>
        <w:tblLook w:firstColumn="1" w:firstRow="1" w:lastColumn="0" w:lastRow="0" w:noHBand="0" w:noVBand="1" w:val="04A0"/>
      </w:tblPr>
      <w:tblGrid>
        <w:gridCol w:w="4320"/>
        <w:gridCol w:w="4320"/>
      </w:tblGrid>
      <w:tr>
        <w:tc>
          <w:tcPr>
            <w:tcW w:type="dxa" w:w="4320"/>
            <w:shd w:fill="4472C4"/>
          </w:tcPr>
          <w:p>
            <w:pPr>
              <w:bidi/>
              <w:jc w:val="right"/>
            </w:pPr>
            <w:r>
              <w:rPr>
                <w:color w:val="FFFFFF"/>
              </w:rPr>
            </w:r>
            <w:r>
              <w:rPr>
                <w:rFonts w:ascii="David" w:hAnsi="David"/>
                <w:b/>
                <w:sz w:val="20"/>
                <w:rtl w:val="1"/>
              </w:rPr>
              <w:t>ממד בשאלון</w:t>
            </w:r>
          </w:p>
        </w:tc>
        <w:tc>
          <w:tcPr>
            <w:tcW w:type="dxa" w:w="4320"/>
            <w:shd w:fill="4472C4"/>
          </w:tcPr>
          <w:p>
            <w:pPr>
              <w:bidi/>
              <w:jc w:val="right"/>
            </w:pPr>
            <w:r>
              <w:rPr>
                <w:color w:val="FFFFFF"/>
              </w:rPr>
            </w:r>
            <w:r>
              <w:rPr>
                <w:rFonts w:ascii="David" w:hAnsi="David"/>
                <w:b/>
                <w:sz w:val="20"/>
                <w:rtl w:val="1"/>
              </w:rPr>
              <w:t>שאלות סימולציה</w:t>
            </w:r>
          </w:p>
        </w:tc>
      </w:tr>
      <w:tr>
        <w:tc>
          <w:tcPr>
            <w:tcW w:type="dxa" w:w="4320"/>
          </w:tcPr>
          <w:p>
            <w:pPr>
              <w:bidi/>
              <w:jc w:val="right"/>
            </w:pPr>
            <w:r/>
            <w:r>
              <w:rPr>
                <w:rFonts w:ascii="David" w:hAnsi="David"/>
                <w:b/>
                <w:sz w:val="20"/>
                <w:rtl w:val="1"/>
              </w:rPr>
              <w:t>מוטיבציה ורלוונטיות</w:t>
            </w:r>
          </w:p>
        </w:tc>
        <w:tc>
          <w:tcPr>
            <w:tcW w:type="dxa" w:w="4320"/>
          </w:tcPr>
          <w:p>
            <w:pPr>
              <w:bidi/>
              <w:jc w:val="right"/>
            </w:pPr>
            <w:r/>
            <w:r>
              <w:rPr>
                <w:rFonts w:ascii="David" w:hAnsi="David"/>
                <w:b w:val="0"/>
                <w:sz w:val="20"/>
                <w:rtl w:val="1"/>
              </w:rPr>
              <w:t>Q4 – רצון ללמוד יחידה חדשה</w:t>
            </w:r>
          </w:p>
        </w:tc>
      </w:tr>
      <w:tr>
        <w:tc>
          <w:tcPr>
            <w:tcW w:type="dxa" w:w="4320"/>
          </w:tcPr>
          <w:p>
            <w:pPr>
              <w:bidi/>
              <w:jc w:val="right"/>
            </w:pPr>
            <w:r/>
            <w:r>
              <w:rPr>
                <w:rFonts w:ascii="David" w:hAnsi="David"/>
                <w:b/>
                <w:sz w:val="20"/>
                <w:rtl w:val="1"/>
              </w:rPr>
              <w:t>תודעת צמיחה</w:t>
            </w:r>
          </w:p>
        </w:tc>
        <w:tc>
          <w:tcPr>
            <w:tcW w:type="dxa" w:w="4320"/>
          </w:tcPr>
          <w:p>
            <w:pPr>
              <w:bidi/>
              <w:jc w:val="right"/>
            </w:pPr>
            <w:r/>
            <w:r>
              <w:rPr>
                <w:rFonts w:ascii="David" w:hAnsi="David"/>
                <w:b w:val="0"/>
                <w:sz w:val="20"/>
                <w:rtl w:val="1"/>
              </w:rPr>
              <w:t>Q7 – ייחוס סיבת הציון</w:t>
            </w:r>
          </w:p>
        </w:tc>
      </w:tr>
      <w:tr>
        <w:tc>
          <w:tcPr>
            <w:tcW w:type="dxa" w:w="4320"/>
          </w:tcPr>
          <w:p>
            <w:pPr>
              <w:bidi/>
              <w:jc w:val="right"/>
            </w:pPr>
            <w:r/>
            <w:r>
              <w:rPr>
                <w:rFonts w:ascii="David" w:hAnsi="David"/>
                <w:b/>
                <w:sz w:val="20"/>
                <w:rtl w:val="1"/>
              </w:rPr>
              <w:t>יוזמה ואחריות</w:t>
            </w:r>
          </w:p>
        </w:tc>
        <w:tc>
          <w:tcPr>
            <w:tcW w:type="dxa" w:w="4320"/>
          </w:tcPr>
          <w:p>
            <w:pPr>
              <w:bidi/>
              <w:jc w:val="right"/>
            </w:pPr>
            <w:r/>
            <w:r>
              <w:rPr>
                <w:rFonts w:ascii="David" w:hAnsi="David"/>
                <w:b w:val="0"/>
                <w:sz w:val="20"/>
                <w:rtl w:val="1"/>
              </w:rPr>
              <w:t>Q2 – התמודדות בעת קושי; Q8 – שיחה עם המורה</w:t>
            </w:r>
          </w:p>
        </w:tc>
      </w:tr>
      <w:tr>
        <w:tc>
          <w:tcPr>
            <w:tcW w:type="dxa" w:w="4320"/>
          </w:tcPr>
          <w:p>
            <w:pPr>
              <w:bidi/>
              <w:jc w:val="right"/>
            </w:pPr>
            <w:r/>
            <w:r>
              <w:rPr>
                <w:rFonts w:ascii="David" w:hAnsi="David"/>
                <w:b/>
                <w:sz w:val="20"/>
                <w:rtl w:val="1"/>
              </w:rPr>
              <w:t>ויסות עצמי</w:t>
            </w:r>
          </w:p>
        </w:tc>
        <w:tc>
          <w:tcPr>
            <w:tcW w:type="dxa" w:w="4320"/>
          </w:tcPr>
          <w:p>
            <w:pPr>
              <w:bidi/>
              <w:jc w:val="right"/>
            </w:pPr>
            <w:r/>
            <w:r>
              <w:rPr>
                <w:rFonts w:ascii="David" w:hAnsi="David"/>
                <w:b w:val="0"/>
                <w:sz w:val="20"/>
                <w:rtl w:val="1"/>
              </w:rPr>
              <w:t>Q1 – אופן הלמידה; Q9 – תכנון לקראת מבחן</w:t>
            </w:r>
          </w:p>
        </w:tc>
      </w:tr>
      <w:tr>
        <w:tc>
          <w:tcPr>
            <w:tcW w:type="dxa" w:w="4320"/>
          </w:tcPr>
          <w:p>
            <w:pPr>
              <w:bidi/>
              <w:jc w:val="right"/>
            </w:pPr>
            <w:r/>
            <w:r>
              <w:rPr>
                <w:rFonts w:ascii="David" w:hAnsi="David"/>
                <w:b/>
                <w:sz w:val="20"/>
                <w:rtl w:val="1"/>
              </w:rPr>
              <w:t>מודעות עצמית</w:t>
            </w:r>
          </w:p>
        </w:tc>
        <w:tc>
          <w:tcPr>
            <w:tcW w:type="dxa" w:w="4320"/>
          </w:tcPr>
          <w:p>
            <w:pPr>
              <w:bidi/>
              <w:jc w:val="right"/>
            </w:pPr>
            <w:r/>
            <w:r>
              <w:rPr>
                <w:rFonts w:ascii="David" w:hAnsi="David"/>
                <w:b w:val="0"/>
                <w:sz w:val="20"/>
                <w:rtl w:val="1"/>
              </w:rPr>
              <w:t>Q5 – הערכת איכות שיטת הלמידה</w:t>
            </w:r>
          </w:p>
        </w:tc>
      </w:tr>
      <w:tr>
        <w:tc>
          <w:tcPr>
            <w:tcW w:type="dxa" w:w="4320"/>
          </w:tcPr>
          <w:p>
            <w:pPr>
              <w:bidi/>
              <w:jc w:val="right"/>
            </w:pPr>
            <w:r/>
            <w:r>
              <w:rPr>
                <w:rFonts w:ascii="David" w:hAnsi="David"/>
                <w:b/>
                <w:sz w:val="20"/>
                <w:rtl w:val="1"/>
              </w:rPr>
              <w:t>תמיכה וחוויות רגשיות</w:t>
            </w:r>
          </w:p>
        </w:tc>
        <w:tc>
          <w:tcPr>
            <w:tcW w:type="dxa" w:w="4320"/>
          </w:tcPr>
          <w:p>
            <w:pPr>
              <w:bidi/>
              <w:jc w:val="right"/>
            </w:pPr>
            <w:r/>
            <w:r>
              <w:rPr>
                <w:rFonts w:ascii="David" w:hAnsi="David"/>
                <w:b w:val="0"/>
                <w:sz w:val="20"/>
                <w:rtl w:val="1"/>
              </w:rPr>
              <w:t>Q3 – התמודדות עם תסכול; Q6 – רגשות כלפי הציון</w:t>
            </w:r>
          </w:p>
        </w:tc>
      </w:tr>
    </w:tbl>
    <w:p>
      <w:pPr>
        <w:bidi/>
        <w:jc w:val="right"/>
      </w:pPr>
      <w:r>
        <w:rPr>
          <w:rFonts w:ascii="David" w:hAnsi="David"/>
          <w:b/>
          <w:color w:val="2F5496"/>
          <w:sz w:val="28"/>
          <w:rtl w:val="1"/>
        </w:rPr>
        <w:t>3. תוקף מתכנס: מתאם בין המכשירים</w:t>
      </w:r>
    </w:p>
    <w:p>
      <w:pPr>
        <w:bidi/>
        <w:jc w:val="right"/>
      </w:pPr>
      <w:r>
        <w:rPr>
          <w:rFonts w:ascii="David" w:hAnsi="David"/>
          <w:b w:val="0"/>
          <w:sz w:val="22"/>
          <w:rtl w:val="1"/>
        </w:rPr>
        <w:t>נמצא מתאם חיובי ומובהק בין הציון הכולל בסימולציה לציון הכולל בשאלון (r=0.24, p&lt;.001), המעיד כי תלמידים המדווחים על פעלנות גבוהה אכן מפגינים רמות SRL גבוהות יותר בהתנהגות בפועל. עם זאת, עוצמת המתאם מתונה, ומסבירה כ-6% מהשונות (r²=0.06).</w:t>
      </w:r>
    </w:p>
    <w:p>
      <w:pPr>
        <w:bidi/>
        <w:jc w:val="right"/>
      </w:pPr>
      <w:r>
        <w:rPr>
          <w:rFonts w:ascii="David" w:hAnsi="David"/>
          <w:b w:val="0"/>
          <w:sz w:val="22"/>
          <w:rtl w:val="1"/>
        </w:rPr>
        <w:t>בחינה ברמת הממד (לוח 2) העלתה מתאמים חיוביים אך חלשים (r=0.04–0.14). המתאמים החזקים נמצאו עבור מוטיבציה ורלוונטיות (r=0.14), תמיכה רגשית (r=0.13), יוזמה ואחריות (r=0.13) וויסות עצמי (r=0.13); החלשים – תודעת צמיחה (r=0.06) ומודעות עצמית (r=0.04, לא מובהק).</w:t>
      </w:r>
    </w:p>
    <w:p>
      <w:pPr>
        <w:bidi/>
        <w:jc w:val="right"/>
      </w:pPr>
      <w:r>
        <w:rPr>
          <w:rFonts w:ascii="David" w:hAnsi="David"/>
          <w:b/>
          <w:sz w:val="20"/>
          <w:rtl w:val="1"/>
        </w:rPr>
        <w:t>לוח 2: מתאמי פירסון בין רמת הסימולציה לציון השאלון, לפי ממד</w:t>
      </w:r>
    </w:p>
    <w:tbl>
      <w:tblPr>
        <w:tblStyle w:val="TableGrid"/>
        <w:tblW w:type="auto" w:w="0"/>
        <w:jc w:val="right"/>
        <w:tblLook w:firstColumn="1" w:firstRow="1" w:lastColumn="0" w:lastRow="0" w:noHBand="0" w:noVBand="1" w:val="04A0"/>
      </w:tblPr>
      <w:tblGrid>
        <w:gridCol w:w="2880"/>
        <w:gridCol w:w="2880"/>
        <w:gridCol w:w="2880"/>
      </w:tblGrid>
      <w:tr>
        <w:tc>
          <w:tcPr>
            <w:tcW w:type="dxa" w:w="2880"/>
            <w:shd w:fill="4472C4"/>
          </w:tcPr>
          <w:p>
            <w:pPr>
              <w:bidi/>
              <w:jc w:val="right"/>
            </w:pPr>
            <w:r>
              <w:rPr>
                <w:color w:val="FFFFFF"/>
              </w:rPr>
            </w:r>
            <w:r>
              <w:rPr>
                <w:rFonts w:ascii="David" w:hAnsi="David"/>
                <w:b/>
                <w:sz w:val="20"/>
                <w:rtl w:val="1"/>
              </w:rPr>
              <w:t>ממד</w:t>
            </w:r>
          </w:p>
        </w:tc>
        <w:tc>
          <w:tcPr>
            <w:tcW w:type="dxa" w:w="2880"/>
            <w:shd w:fill="4472C4"/>
          </w:tcPr>
          <w:p>
            <w:pPr>
              <w:bidi/>
              <w:jc w:val="right"/>
            </w:pPr>
            <w:r>
              <w:rPr>
                <w:color w:val="FFFFFF"/>
              </w:rPr>
            </w:r>
            <w:r>
              <w:rPr>
                <w:rFonts w:ascii="David" w:hAnsi="David"/>
                <w:b/>
                <w:sz w:val="20"/>
                <w:rtl w:val="1"/>
              </w:rPr>
              <w:t>r</w:t>
            </w:r>
          </w:p>
        </w:tc>
        <w:tc>
          <w:tcPr>
            <w:tcW w:type="dxa" w:w="2880"/>
            <w:shd w:fill="4472C4"/>
          </w:tcPr>
          <w:p>
            <w:pPr>
              <w:bidi/>
              <w:jc w:val="right"/>
            </w:pPr>
            <w:r>
              <w:rPr>
                <w:color w:val="FFFFFF"/>
              </w:rPr>
            </w:r>
            <w:r>
              <w:rPr>
                <w:rFonts w:ascii="David" w:hAnsi="David"/>
                <w:b/>
                <w:sz w:val="20"/>
                <w:rtl w:val="1"/>
              </w:rPr>
              <w:t>מובהקות</w:t>
            </w:r>
          </w:p>
        </w:tc>
      </w:tr>
      <w:tr>
        <w:tc>
          <w:tcPr>
            <w:tcW w:type="dxa" w:w="2880"/>
          </w:tcPr>
          <w:p>
            <w:pPr>
              <w:bidi/>
              <w:jc w:val="right"/>
            </w:pPr>
            <w:r/>
            <w:r>
              <w:rPr>
                <w:rFonts w:ascii="David" w:hAnsi="David"/>
                <w:b/>
                <w:sz w:val="20"/>
                <w:rtl w:val="1"/>
              </w:rPr>
              <w:t>מוטיבציה ורלוונטיות</w:t>
            </w:r>
          </w:p>
        </w:tc>
        <w:tc>
          <w:tcPr>
            <w:tcW w:type="dxa" w:w="2880"/>
          </w:tcPr>
          <w:p>
            <w:pPr>
              <w:bidi/>
              <w:jc w:val="right"/>
            </w:pPr>
            <w:r/>
            <w:r>
              <w:rPr>
                <w:rFonts w:ascii="David" w:hAnsi="David"/>
                <w:b w:val="0"/>
                <w:sz w:val="20"/>
                <w:rtl w:val="1"/>
              </w:rPr>
              <w:t>0.140</w:t>
            </w:r>
          </w:p>
        </w:tc>
        <w:tc>
          <w:tcPr>
            <w:tcW w:type="dxa" w:w="2880"/>
          </w:tcPr>
          <w:p>
            <w:pPr>
              <w:bidi/>
              <w:jc w:val="right"/>
            </w:pPr>
            <w:r/>
            <w:r>
              <w:rPr>
                <w:rFonts w:ascii="David" w:hAnsi="David"/>
                <w:b w:val="0"/>
                <w:sz w:val="20"/>
                <w:rtl w:val="1"/>
              </w:rPr>
              <w:t>***</w:t>
            </w:r>
          </w:p>
        </w:tc>
      </w:tr>
      <w:tr>
        <w:tc>
          <w:tcPr>
            <w:tcW w:type="dxa" w:w="2880"/>
          </w:tcPr>
          <w:p>
            <w:pPr>
              <w:bidi/>
              <w:jc w:val="right"/>
            </w:pPr>
            <w:r/>
            <w:r>
              <w:rPr>
                <w:rFonts w:ascii="David" w:hAnsi="David"/>
                <w:b/>
                <w:sz w:val="20"/>
                <w:rtl w:val="1"/>
              </w:rPr>
              <w:t>תמיכה וחוויות רגשיות</w:t>
            </w:r>
          </w:p>
        </w:tc>
        <w:tc>
          <w:tcPr>
            <w:tcW w:type="dxa" w:w="2880"/>
          </w:tcPr>
          <w:p>
            <w:pPr>
              <w:bidi/>
              <w:jc w:val="right"/>
            </w:pPr>
            <w:r/>
            <w:r>
              <w:rPr>
                <w:rFonts w:ascii="David" w:hAnsi="David"/>
                <w:b w:val="0"/>
                <w:sz w:val="20"/>
                <w:rtl w:val="1"/>
              </w:rPr>
              <w:t>0.132</w:t>
            </w:r>
          </w:p>
        </w:tc>
        <w:tc>
          <w:tcPr>
            <w:tcW w:type="dxa" w:w="2880"/>
          </w:tcPr>
          <w:p>
            <w:pPr>
              <w:bidi/>
              <w:jc w:val="right"/>
            </w:pPr>
            <w:r/>
            <w:r>
              <w:rPr>
                <w:rFonts w:ascii="David" w:hAnsi="David"/>
                <w:b w:val="0"/>
                <w:sz w:val="20"/>
                <w:rtl w:val="1"/>
              </w:rPr>
              <w:t>***</w:t>
            </w:r>
          </w:p>
        </w:tc>
      </w:tr>
      <w:tr>
        <w:tc>
          <w:tcPr>
            <w:tcW w:type="dxa" w:w="2880"/>
          </w:tcPr>
          <w:p>
            <w:pPr>
              <w:bidi/>
              <w:jc w:val="right"/>
            </w:pPr>
            <w:r/>
            <w:r>
              <w:rPr>
                <w:rFonts w:ascii="David" w:hAnsi="David"/>
                <w:b/>
                <w:sz w:val="20"/>
                <w:rtl w:val="1"/>
              </w:rPr>
              <w:t>יוזמה ואחריות</w:t>
            </w:r>
          </w:p>
        </w:tc>
        <w:tc>
          <w:tcPr>
            <w:tcW w:type="dxa" w:w="2880"/>
          </w:tcPr>
          <w:p>
            <w:pPr>
              <w:bidi/>
              <w:jc w:val="right"/>
            </w:pPr>
            <w:r/>
            <w:r>
              <w:rPr>
                <w:rFonts w:ascii="David" w:hAnsi="David"/>
                <w:b w:val="0"/>
                <w:sz w:val="20"/>
                <w:rtl w:val="1"/>
              </w:rPr>
              <w:t>0.127</w:t>
            </w:r>
          </w:p>
        </w:tc>
        <w:tc>
          <w:tcPr>
            <w:tcW w:type="dxa" w:w="2880"/>
          </w:tcPr>
          <w:p>
            <w:pPr>
              <w:bidi/>
              <w:jc w:val="right"/>
            </w:pPr>
            <w:r/>
            <w:r>
              <w:rPr>
                <w:rFonts w:ascii="David" w:hAnsi="David"/>
                <w:b w:val="0"/>
                <w:sz w:val="20"/>
                <w:rtl w:val="1"/>
              </w:rPr>
              <w:t>***</w:t>
            </w:r>
          </w:p>
        </w:tc>
      </w:tr>
      <w:tr>
        <w:tc>
          <w:tcPr>
            <w:tcW w:type="dxa" w:w="2880"/>
          </w:tcPr>
          <w:p>
            <w:pPr>
              <w:bidi/>
              <w:jc w:val="right"/>
            </w:pPr>
            <w:r/>
            <w:r>
              <w:rPr>
                <w:rFonts w:ascii="David" w:hAnsi="David"/>
                <w:b/>
                <w:sz w:val="20"/>
                <w:rtl w:val="1"/>
              </w:rPr>
              <w:t>ויסות עצמי</w:t>
            </w:r>
          </w:p>
        </w:tc>
        <w:tc>
          <w:tcPr>
            <w:tcW w:type="dxa" w:w="2880"/>
          </w:tcPr>
          <w:p>
            <w:pPr>
              <w:bidi/>
              <w:jc w:val="right"/>
            </w:pPr>
            <w:r/>
            <w:r>
              <w:rPr>
                <w:rFonts w:ascii="David" w:hAnsi="David"/>
                <w:b w:val="0"/>
                <w:sz w:val="20"/>
                <w:rtl w:val="1"/>
              </w:rPr>
              <w:t>0.126</w:t>
            </w:r>
          </w:p>
        </w:tc>
        <w:tc>
          <w:tcPr>
            <w:tcW w:type="dxa" w:w="2880"/>
          </w:tcPr>
          <w:p>
            <w:pPr>
              <w:bidi/>
              <w:jc w:val="right"/>
            </w:pPr>
            <w:r/>
            <w:r>
              <w:rPr>
                <w:rFonts w:ascii="David" w:hAnsi="David"/>
                <w:b w:val="0"/>
                <w:sz w:val="20"/>
                <w:rtl w:val="1"/>
              </w:rPr>
              <w:t>***</w:t>
            </w:r>
          </w:p>
        </w:tc>
      </w:tr>
      <w:tr>
        <w:tc>
          <w:tcPr>
            <w:tcW w:type="dxa" w:w="2880"/>
          </w:tcPr>
          <w:p>
            <w:pPr>
              <w:bidi/>
              <w:jc w:val="right"/>
            </w:pPr>
            <w:r/>
            <w:r>
              <w:rPr>
                <w:rFonts w:ascii="David" w:hAnsi="David"/>
                <w:b/>
                <w:sz w:val="20"/>
                <w:rtl w:val="1"/>
              </w:rPr>
              <w:t>תודעת צמיחה</w:t>
            </w:r>
          </w:p>
        </w:tc>
        <w:tc>
          <w:tcPr>
            <w:tcW w:type="dxa" w:w="2880"/>
          </w:tcPr>
          <w:p>
            <w:pPr>
              <w:bidi/>
              <w:jc w:val="right"/>
            </w:pPr>
            <w:r/>
            <w:r>
              <w:rPr>
                <w:rFonts w:ascii="David" w:hAnsi="David"/>
                <w:b w:val="0"/>
                <w:sz w:val="20"/>
                <w:rtl w:val="1"/>
              </w:rPr>
              <w:t>0.064</w:t>
            </w:r>
          </w:p>
        </w:tc>
        <w:tc>
          <w:tcPr>
            <w:tcW w:type="dxa" w:w="2880"/>
          </w:tcPr>
          <w:p>
            <w:pPr>
              <w:bidi/>
              <w:jc w:val="right"/>
            </w:pPr>
            <w:r/>
            <w:r>
              <w:rPr>
                <w:rFonts w:ascii="David" w:hAnsi="David"/>
                <w:b w:val="0"/>
                <w:sz w:val="20"/>
                <w:rtl w:val="1"/>
              </w:rPr>
              <w:t>*</w:t>
            </w:r>
          </w:p>
        </w:tc>
      </w:tr>
      <w:tr>
        <w:tc>
          <w:tcPr>
            <w:tcW w:type="dxa" w:w="2880"/>
          </w:tcPr>
          <w:p>
            <w:pPr>
              <w:bidi/>
              <w:jc w:val="right"/>
            </w:pPr>
            <w:r/>
            <w:r>
              <w:rPr>
                <w:rFonts w:ascii="David" w:hAnsi="David"/>
                <w:b/>
                <w:sz w:val="20"/>
                <w:rtl w:val="1"/>
              </w:rPr>
              <w:t>מודעות עצמית</w:t>
            </w:r>
          </w:p>
        </w:tc>
        <w:tc>
          <w:tcPr>
            <w:tcW w:type="dxa" w:w="2880"/>
          </w:tcPr>
          <w:p>
            <w:pPr>
              <w:bidi/>
              <w:jc w:val="right"/>
            </w:pPr>
            <w:r/>
            <w:r>
              <w:rPr>
                <w:rFonts w:ascii="David" w:hAnsi="David"/>
                <w:b w:val="0"/>
                <w:sz w:val="20"/>
                <w:rtl w:val="1"/>
              </w:rPr>
              <w:t>0.041</w:t>
            </w:r>
          </w:p>
        </w:tc>
        <w:tc>
          <w:tcPr>
            <w:tcW w:type="dxa" w:w="2880"/>
          </w:tcPr>
          <w:p>
            <w:pPr>
              <w:bidi/>
              <w:jc w:val="right"/>
            </w:pPr>
            <w:r/>
            <w:r>
              <w:rPr>
                <w:rFonts w:ascii="David" w:hAnsi="David"/>
                <w:b w:val="0"/>
                <w:sz w:val="20"/>
                <w:rtl w:val="1"/>
              </w:rPr>
              <w:t>לא מובהק</w:t>
            </w:r>
          </w:p>
        </w:tc>
      </w:tr>
      <w:tr>
        <w:tc>
          <w:tcPr>
            <w:tcW w:type="dxa" w:w="2880"/>
          </w:tcPr>
          <w:p>
            <w:pPr>
              <w:bidi/>
              <w:jc w:val="right"/>
            </w:pPr>
            <w:r/>
            <w:r>
              <w:rPr>
                <w:rFonts w:ascii="David" w:hAnsi="David"/>
                <w:b/>
                <w:sz w:val="20"/>
                <w:rtl w:val="1"/>
              </w:rPr>
              <w:t>ציון כולל</w:t>
            </w:r>
          </w:p>
        </w:tc>
        <w:tc>
          <w:tcPr>
            <w:tcW w:type="dxa" w:w="2880"/>
          </w:tcPr>
          <w:p>
            <w:pPr>
              <w:bidi/>
              <w:jc w:val="right"/>
            </w:pPr>
            <w:r/>
            <w:r>
              <w:rPr>
                <w:rFonts w:ascii="David" w:hAnsi="David"/>
                <w:b w:val="0"/>
                <w:sz w:val="20"/>
                <w:rtl w:val="1"/>
              </w:rPr>
              <w:t>0.243</w:t>
            </w:r>
          </w:p>
        </w:tc>
        <w:tc>
          <w:tcPr>
            <w:tcW w:type="dxa" w:w="2880"/>
          </w:tcPr>
          <w:p>
            <w:pPr>
              <w:bidi/>
              <w:jc w:val="right"/>
            </w:pPr>
            <w:r/>
            <w:r>
              <w:rPr>
                <w:rFonts w:ascii="David" w:hAnsi="David"/>
                <w:b w:val="0"/>
                <w:sz w:val="20"/>
                <w:rtl w:val="1"/>
              </w:rPr>
              <w:t>***</w:t>
            </w:r>
          </w:p>
        </w:tc>
      </w:tr>
    </w:tbl>
    <w:p>
      <w:pPr>
        <w:bidi/>
        <w:jc w:val="right"/>
      </w:pPr>
      <w:r>
        <w:rPr>
          <w:rFonts w:ascii="David" w:hAnsi="David"/>
          <w:b w:val="0"/>
          <w:sz w:val="18"/>
          <w:rtl w:val="1"/>
        </w:rPr>
        <w:t>* p&lt;.05  ** p&lt;.01  *** p&lt;.001</w:t>
      </w:r>
    </w:p>
    <w:p>
      <w:pPr>
        <w:bidi/>
        <w:jc w:val="right"/>
      </w:pPr>
      <w:r>
        <w:rPr>
          <w:rFonts w:ascii="David" w:hAnsi="David"/>
          <w:b w:val="0"/>
          <w:sz w:val="22"/>
          <w:rtl w:val="1"/>
        </w:rPr>
        <w:t>יש לציין כי ממדי השאלון מתואמים זה לזה במידה גבוהה (r ממוצע ≈ 0.54), ולכן הסימולציה אינה מבחינה ביניהם באופן ייחודי – ממצא המצביע על 'גורם כללי' של איכות לומד ועל כך שדיווח עצמי וסימולציה התנהגותית מודדים היבטים משלימים אך נבדלים.</w:t>
      </w:r>
    </w:p>
    <w:p>
      <w:pPr>
        <w:bidi/>
        <w:jc w:val="right"/>
      </w:pPr>
      <w:r>
        <w:rPr>
          <w:rFonts w:ascii="David" w:hAnsi="David"/>
          <w:b/>
          <w:color w:val="2F5496"/>
          <w:sz w:val="28"/>
          <w:rtl w:val="1"/>
        </w:rPr>
        <w:t>4. ניתוח רגרסיה: מנבאי הביצוע בסימולציה</w:t>
      </w:r>
    </w:p>
    <w:p>
      <w:pPr>
        <w:bidi/>
        <w:jc w:val="right"/>
      </w:pPr>
      <w:r>
        <w:rPr>
          <w:rFonts w:ascii="David" w:hAnsi="David"/>
          <w:b w:val="0"/>
          <w:sz w:val="22"/>
          <w:rtl w:val="1"/>
        </w:rPr>
        <w:t>רגרסיה לינארית מרובה (N=1,223) שבה ששת ממדי השאלון ניבאו את הציון הכולל בסימולציה הסבירה 6.5% מהשונות (R²=0.065, p&lt;.001). מבין הממדים, רק שניים תרמו ניבוי ייחודי מובהק: מוטיבציה ורלוונטיות (β=0.11, p&lt;.05) ויוזמה ואחריות (β=0.11, p&lt;.01). יתר הממדים איבדו את מובהקותם בנוכחות שאר המנבאים, בשל המתאם הגבוה ביניהם (ערכי VIF נעו בין 1.6 ל-3.0).</w:t>
      </w:r>
    </w:p>
    <w:p>
      <w:pPr>
        <w:bidi/>
        <w:jc w:val="right"/>
      </w:pPr>
      <w:r>
        <w:rPr>
          <w:rFonts w:ascii="David" w:hAnsi="David"/>
          <w:b/>
          <w:color w:val="2F5496"/>
          <w:sz w:val="28"/>
          <w:rtl w:val="1"/>
        </w:rPr>
        <w:t>5. הבדל בין סביבת AI לסביבה רגילה (ממצא מרכזי)</w:t>
      </w:r>
    </w:p>
    <w:p>
      <w:pPr>
        <w:bidi/>
        <w:jc w:val="right"/>
      </w:pPr>
      <w:r>
        <w:rPr>
          <w:rFonts w:ascii="David" w:hAnsi="David"/>
          <w:b w:val="0"/>
          <w:sz w:val="22"/>
          <w:rtl w:val="1"/>
        </w:rPr>
        <w:t>ניתוח הרגרסיה חזר בנפרד לקבוצת הפיילוט (למידה עם כלי AI, N=979) ולקבוצת ההשוואה (ללא AI, N=241). שיוך הקבוצות אומת ב-99.8% מול מדד הקבוצה בשאלון. נמצא הבדל מהותי בדפוס הניבוי בין הקבוצות (לוח 3).</w:t>
      </w:r>
    </w:p>
    <w:p>
      <w:pPr>
        <w:bidi/>
        <w:jc w:val="right"/>
      </w:pPr>
      <w:r>
        <w:rPr>
          <w:rFonts w:ascii="David" w:hAnsi="David"/>
          <w:b/>
          <w:sz w:val="20"/>
          <w:rtl w:val="1"/>
        </w:rPr>
        <w:t>לוח 3: מקדמי רגרסיה סטנדרטיים (β), לפי קבוצה</w:t>
      </w:r>
    </w:p>
    <w:tbl>
      <w:tblPr>
        <w:tblStyle w:val="TableGrid"/>
        <w:tblW w:type="auto" w:w="0"/>
        <w:jc w:val="right"/>
        <w:tblLook w:firstColumn="1" w:firstRow="1" w:lastColumn="0" w:lastRow="0" w:noHBand="0" w:noVBand="1" w:val="04A0"/>
      </w:tblPr>
      <w:tblGrid>
        <w:gridCol w:w="2880"/>
        <w:gridCol w:w="2880"/>
        <w:gridCol w:w="2880"/>
      </w:tblGrid>
      <w:tr>
        <w:tc>
          <w:tcPr>
            <w:tcW w:type="dxa" w:w="2880"/>
            <w:shd w:fill="4472C4"/>
          </w:tcPr>
          <w:p>
            <w:pPr>
              <w:bidi/>
              <w:jc w:val="right"/>
            </w:pPr>
            <w:r>
              <w:rPr>
                <w:color w:val="FFFFFF"/>
              </w:rPr>
            </w:r>
            <w:r>
              <w:rPr>
                <w:rFonts w:ascii="David" w:hAnsi="David"/>
                <w:b/>
                <w:sz w:val="20"/>
                <w:rtl w:val="1"/>
              </w:rPr>
              <w:t>ממד</w:t>
            </w:r>
          </w:p>
        </w:tc>
        <w:tc>
          <w:tcPr>
            <w:tcW w:type="dxa" w:w="2880"/>
            <w:shd w:fill="4472C4"/>
          </w:tcPr>
          <w:p>
            <w:pPr>
              <w:bidi/>
              <w:jc w:val="right"/>
            </w:pPr>
            <w:r>
              <w:rPr>
                <w:color w:val="FFFFFF"/>
              </w:rPr>
            </w:r>
            <w:r>
              <w:rPr>
                <w:rFonts w:ascii="David" w:hAnsi="David"/>
                <w:b/>
                <w:sz w:val="20"/>
                <w:rtl w:val="1"/>
              </w:rPr>
              <w:t>β (עם AI)</w:t>
            </w:r>
          </w:p>
        </w:tc>
        <w:tc>
          <w:tcPr>
            <w:tcW w:type="dxa" w:w="2880"/>
            <w:shd w:fill="4472C4"/>
          </w:tcPr>
          <w:p>
            <w:pPr>
              <w:bidi/>
              <w:jc w:val="right"/>
            </w:pPr>
            <w:r>
              <w:rPr>
                <w:color w:val="FFFFFF"/>
              </w:rPr>
            </w:r>
            <w:r>
              <w:rPr>
                <w:rFonts w:ascii="David" w:hAnsi="David"/>
                <w:b/>
                <w:sz w:val="20"/>
                <w:rtl w:val="1"/>
              </w:rPr>
              <w:t>β (ללא AI)</w:t>
            </w:r>
          </w:p>
        </w:tc>
      </w:tr>
      <w:tr>
        <w:tc>
          <w:tcPr>
            <w:tcW w:type="dxa" w:w="2880"/>
          </w:tcPr>
          <w:p>
            <w:pPr>
              <w:bidi/>
              <w:jc w:val="right"/>
            </w:pPr>
            <w:r/>
            <w:r>
              <w:rPr>
                <w:rFonts w:ascii="David" w:hAnsi="David"/>
                <w:b/>
                <w:sz w:val="20"/>
                <w:rtl w:val="1"/>
              </w:rPr>
              <w:t>מוטיבציה ורלוונטיות</w:t>
            </w:r>
          </w:p>
        </w:tc>
        <w:tc>
          <w:tcPr>
            <w:tcW w:type="dxa" w:w="2880"/>
            <w:shd w:fill="C6E0B4"/>
          </w:tcPr>
          <w:p>
            <w:pPr>
              <w:bidi/>
              <w:jc w:val="right"/>
            </w:pPr>
            <w:r/>
            <w:r>
              <w:rPr>
                <w:rFonts w:ascii="David" w:hAnsi="David"/>
                <w:b w:val="0"/>
                <w:sz w:val="20"/>
                <w:rtl w:val="1"/>
              </w:rPr>
              <w:t>0.06 (ns)</w:t>
            </w:r>
          </w:p>
        </w:tc>
        <w:tc>
          <w:tcPr>
            <w:tcW w:type="dxa" w:w="2880"/>
          </w:tcPr>
          <w:p>
            <w:pPr>
              <w:bidi/>
              <w:jc w:val="right"/>
            </w:pPr>
            <w:r/>
            <w:r>
              <w:rPr>
                <w:rFonts w:ascii="David" w:hAnsi="David"/>
                <w:b w:val="0"/>
                <w:sz w:val="20"/>
                <w:rtl w:val="1"/>
              </w:rPr>
              <w:t>0.26 **</w:t>
            </w:r>
          </w:p>
        </w:tc>
      </w:tr>
      <w:tr>
        <w:tc>
          <w:tcPr>
            <w:tcW w:type="dxa" w:w="2880"/>
          </w:tcPr>
          <w:p>
            <w:pPr>
              <w:bidi/>
              <w:jc w:val="right"/>
            </w:pPr>
            <w:r/>
            <w:r>
              <w:rPr>
                <w:rFonts w:ascii="David" w:hAnsi="David"/>
                <w:b/>
                <w:sz w:val="20"/>
                <w:rtl w:val="1"/>
              </w:rPr>
              <w:t>תודעת צמיחה</w:t>
            </w:r>
          </w:p>
        </w:tc>
        <w:tc>
          <w:tcPr>
            <w:tcW w:type="dxa" w:w="2880"/>
          </w:tcPr>
          <w:p>
            <w:pPr>
              <w:bidi/>
              <w:jc w:val="right"/>
            </w:pPr>
            <w:r/>
            <w:r>
              <w:rPr>
                <w:rFonts w:ascii="David" w:hAnsi="David"/>
                <w:b w:val="0"/>
                <w:sz w:val="20"/>
                <w:rtl w:val="1"/>
              </w:rPr>
              <w:t>0.04 (ns)</w:t>
            </w:r>
          </w:p>
        </w:tc>
        <w:tc>
          <w:tcPr>
            <w:tcW w:type="dxa" w:w="2880"/>
          </w:tcPr>
          <w:p>
            <w:pPr>
              <w:bidi/>
              <w:jc w:val="right"/>
            </w:pPr>
            <w:r/>
            <w:r>
              <w:rPr>
                <w:rFonts w:ascii="David" w:hAnsi="David"/>
                <w:b w:val="0"/>
                <w:sz w:val="20"/>
                <w:rtl w:val="1"/>
              </w:rPr>
              <w:t>0.16 (ns)</w:t>
            </w:r>
          </w:p>
        </w:tc>
      </w:tr>
      <w:tr>
        <w:tc>
          <w:tcPr>
            <w:tcW w:type="dxa" w:w="2880"/>
          </w:tcPr>
          <w:p>
            <w:pPr>
              <w:bidi/>
              <w:jc w:val="right"/>
            </w:pPr>
            <w:r/>
            <w:r>
              <w:rPr>
                <w:rFonts w:ascii="David" w:hAnsi="David"/>
                <w:b/>
                <w:sz w:val="20"/>
                <w:rtl w:val="1"/>
              </w:rPr>
              <w:t>יוזמה ואחריות</w:t>
            </w:r>
          </w:p>
        </w:tc>
        <w:tc>
          <w:tcPr>
            <w:tcW w:type="dxa" w:w="2880"/>
          </w:tcPr>
          <w:p>
            <w:pPr>
              <w:bidi/>
              <w:jc w:val="right"/>
            </w:pPr>
            <w:r/>
            <w:r>
              <w:rPr>
                <w:rFonts w:ascii="David" w:hAnsi="David"/>
                <w:b w:val="0"/>
                <w:sz w:val="20"/>
                <w:rtl w:val="1"/>
              </w:rPr>
              <w:t>0.12 **</w:t>
            </w:r>
          </w:p>
        </w:tc>
        <w:tc>
          <w:tcPr>
            <w:tcW w:type="dxa" w:w="2880"/>
            <w:shd w:fill="C6E0B4"/>
          </w:tcPr>
          <w:p>
            <w:pPr>
              <w:bidi/>
              <w:jc w:val="right"/>
            </w:pPr>
            <w:r/>
            <w:r>
              <w:rPr>
                <w:rFonts w:ascii="David" w:hAnsi="David"/>
                <w:b w:val="0"/>
                <w:sz w:val="20"/>
                <w:rtl w:val="1"/>
              </w:rPr>
              <w:t>0.05 (ns)</w:t>
            </w:r>
          </w:p>
        </w:tc>
      </w:tr>
      <w:tr>
        <w:tc>
          <w:tcPr>
            <w:tcW w:type="dxa" w:w="2880"/>
          </w:tcPr>
          <w:p>
            <w:pPr>
              <w:bidi/>
              <w:jc w:val="right"/>
            </w:pPr>
            <w:r/>
            <w:r>
              <w:rPr>
                <w:rFonts w:ascii="David" w:hAnsi="David"/>
                <w:b/>
                <w:sz w:val="20"/>
                <w:rtl w:val="1"/>
              </w:rPr>
              <w:t>ויסות עצמי</w:t>
            </w:r>
          </w:p>
        </w:tc>
        <w:tc>
          <w:tcPr>
            <w:tcW w:type="dxa" w:w="2880"/>
          </w:tcPr>
          <w:p>
            <w:pPr>
              <w:bidi/>
              <w:jc w:val="right"/>
            </w:pPr>
            <w:r/>
            <w:r>
              <w:rPr>
                <w:rFonts w:ascii="David" w:hAnsi="David"/>
                <w:b w:val="0"/>
                <w:sz w:val="20"/>
                <w:rtl w:val="1"/>
              </w:rPr>
              <w:t>0.08 (ns)</w:t>
            </w:r>
          </w:p>
        </w:tc>
        <w:tc>
          <w:tcPr>
            <w:tcW w:type="dxa" w:w="2880"/>
          </w:tcPr>
          <w:p>
            <w:pPr>
              <w:bidi/>
              <w:jc w:val="right"/>
            </w:pPr>
            <w:r/>
            <w:r>
              <w:rPr>
                <w:rFonts w:ascii="David" w:hAnsi="David"/>
                <w:b w:val="0"/>
                <w:sz w:val="20"/>
                <w:rtl w:val="1"/>
              </w:rPr>
              <w:t>0.15- (ns)</w:t>
            </w:r>
          </w:p>
        </w:tc>
      </w:tr>
      <w:tr>
        <w:tc>
          <w:tcPr>
            <w:tcW w:type="dxa" w:w="2880"/>
          </w:tcPr>
          <w:p>
            <w:pPr>
              <w:bidi/>
              <w:jc w:val="right"/>
            </w:pPr>
            <w:r/>
            <w:r>
              <w:rPr>
                <w:rFonts w:ascii="David" w:hAnsi="David"/>
                <w:b/>
                <w:sz w:val="20"/>
                <w:rtl w:val="1"/>
              </w:rPr>
              <w:t>מודעות עצמית</w:t>
            </w:r>
          </w:p>
        </w:tc>
        <w:tc>
          <w:tcPr>
            <w:tcW w:type="dxa" w:w="2880"/>
          </w:tcPr>
          <w:p>
            <w:pPr>
              <w:bidi/>
              <w:jc w:val="right"/>
            </w:pPr>
            <w:r/>
            <w:r>
              <w:rPr>
                <w:rFonts w:ascii="David" w:hAnsi="David"/>
                <w:b w:val="0"/>
                <w:sz w:val="20"/>
                <w:rtl w:val="1"/>
              </w:rPr>
              <w:t>0.02- (ns)</w:t>
            </w:r>
          </w:p>
        </w:tc>
        <w:tc>
          <w:tcPr>
            <w:tcW w:type="dxa" w:w="2880"/>
          </w:tcPr>
          <w:p>
            <w:pPr>
              <w:bidi/>
              <w:jc w:val="right"/>
            </w:pPr>
            <w:r/>
            <w:r>
              <w:rPr>
                <w:rFonts w:ascii="David" w:hAnsi="David"/>
                <w:b w:val="0"/>
                <w:sz w:val="20"/>
                <w:rtl w:val="1"/>
              </w:rPr>
              <w:t>0.08 (ns)</w:t>
            </w:r>
          </w:p>
        </w:tc>
      </w:tr>
      <w:tr>
        <w:tc>
          <w:tcPr>
            <w:tcW w:type="dxa" w:w="2880"/>
          </w:tcPr>
          <w:p>
            <w:pPr>
              <w:bidi/>
              <w:jc w:val="right"/>
            </w:pPr>
            <w:r/>
            <w:r>
              <w:rPr>
                <w:rFonts w:ascii="David" w:hAnsi="David"/>
                <w:b/>
                <w:sz w:val="20"/>
                <w:rtl w:val="1"/>
              </w:rPr>
              <w:t>תמיכה וחוויות רגשיות</w:t>
            </w:r>
          </w:p>
        </w:tc>
        <w:tc>
          <w:tcPr>
            <w:tcW w:type="dxa" w:w="2880"/>
          </w:tcPr>
          <w:p>
            <w:pPr>
              <w:bidi/>
              <w:jc w:val="right"/>
            </w:pPr>
            <w:r/>
            <w:r>
              <w:rPr>
                <w:rFonts w:ascii="David" w:hAnsi="David"/>
                <w:b w:val="0"/>
                <w:sz w:val="20"/>
                <w:rtl w:val="1"/>
              </w:rPr>
              <w:t>0.01 (ns)</w:t>
            </w:r>
          </w:p>
        </w:tc>
        <w:tc>
          <w:tcPr>
            <w:tcW w:type="dxa" w:w="2880"/>
          </w:tcPr>
          <w:p>
            <w:pPr>
              <w:bidi/>
              <w:jc w:val="right"/>
            </w:pPr>
            <w:r/>
            <w:r>
              <w:rPr>
                <w:rFonts w:ascii="David" w:hAnsi="David"/>
                <w:b w:val="0"/>
                <w:sz w:val="20"/>
                <w:rtl w:val="1"/>
              </w:rPr>
              <w:t>0.01- (ns)</w:t>
            </w:r>
          </w:p>
        </w:tc>
      </w:tr>
    </w:tbl>
    <w:p>
      <w:pPr>
        <w:bidi/>
        <w:jc w:val="right"/>
      </w:pPr>
      <w:r>
        <w:rPr>
          <w:rFonts w:ascii="David" w:hAnsi="David"/>
          <w:b/>
          <w:sz w:val="20"/>
          <w:rtl w:val="1"/>
        </w:rPr>
        <w:t>R²: עם AI = 0.058 | ללא AI = 0.130</w:t>
      </w:r>
    </w:p>
    <w:p>
      <w:pPr>
        <w:bidi/>
        <w:jc w:val="right"/>
      </w:pPr>
      <w:r>
        <w:rPr>
          <w:rFonts w:ascii="David" w:hAnsi="David"/>
          <w:b w:val="0"/>
          <w:sz w:val="22"/>
          <w:rtl w:val="1"/>
        </w:rPr>
        <w:t>בקבוצה ללא AI הסביר השאלון 13.0% מהשונות בסימולציה, ומוטיבציה ורלוונטיות הייתה המנבא הדומיננטי (β=0.26, p&lt;.01). בקבוצה עם AI ירד כוח הניבוי לכדי 5.8% בלבד, המוטיבציה איבדה את מובהקותה (β=0.06, ns), ויוזמה ואחריות הפכה למנבא היחיד המובהק (β=0.12, p&lt;.01).</w:t>
      </w:r>
    </w:p>
    <w:p>
      <w:pPr>
        <w:bidi/>
        <w:jc w:val="right"/>
      </w:pPr>
      <w:r>
        <w:rPr>
          <w:rFonts w:ascii="David" w:hAnsi="David"/>
          <w:b w:val="0"/>
          <w:sz w:val="22"/>
          <w:rtl w:val="1"/>
        </w:rPr>
        <w:t>ממצאים אלה מרמזים כי כלי ה-AI ממתן את הקשר בין מוטיבציה פנימית לביצוע התנהגותי. הסבר אפשרי הוא שהכלי מספק פיגומים חיצוניים (scaffolding) לכלל הלומדים ללא תלות במוטיבציה שלהם, ולפיכך המוטיבציה חדלה להבחין בין לומדים מצליחים לפחות מצליחים. במקביל, היוזמה העצמית – הנדרשת לניצול אפקטיבי של כלי פסיבי – נותרת מנבא רלוונטי. הבדל הביצוע הממוצע בין הקבוצות היה זניח מבחינה מעשית (עם AI=2.03, ללא AI=2.09).</w:t>
      </w:r>
    </w:p>
    <w:p>
      <w:pPr>
        <w:bidi/>
        <w:jc w:val="right"/>
      </w:pPr>
      <w:r>
        <w:rPr>
          <w:rFonts w:ascii="David" w:hAnsi="David"/>
          <w:b/>
          <w:color w:val="2F5496"/>
          <w:sz w:val="28"/>
          <w:rtl w:val="1"/>
        </w:rPr>
        <w:t>6. השפעת ה-AI על פערים בין תלמידים</w:t>
      </w:r>
    </w:p>
    <w:p>
      <w:pPr>
        <w:bidi/>
        <w:jc w:val="right"/>
      </w:pPr>
      <w:r>
        <w:rPr>
          <w:rFonts w:ascii="David" w:hAnsi="David"/>
          <w:b w:val="0"/>
          <w:sz w:val="22"/>
          <w:rtl w:val="1"/>
        </w:rPr>
        <w:t>לא נמצא הבדל מובהק בשונות הביצוע בין הקבוצות (מבחן Levene: W=2.10, p=0.15; שונות עם AI=0.092, ללא AI=0.108). כלומר, אף שניכרה מגמה לא-מובהקת לצמצום פיזור בקבוצת ה-AI (IQR=0.33 מול 0.44), אין עדות סטטיסטית לכך שה-AI מצמצם את הפערים בין התלמידים.</w:t>
      </w:r>
    </w:p>
    <w:p>
      <w:pPr>
        <w:bidi/>
        <w:jc w:val="right"/>
      </w:pPr>
      <w:r>
        <w:rPr>
          <w:rFonts w:ascii="David" w:hAnsi="David"/>
          <w:b/>
          <w:color w:val="2F5496"/>
          <w:sz w:val="28"/>
          <w:rtl w:val="1"/>
        </w:rPr>
        <w:t>7. סיכום הממצאים</w:t>
      </w:r>
    </w:p>
    <w:p>
      <w:pPr>
        <w:bidi/>
        <w:jc w:val="right"/>
      </w:pPr>
      <w:r>
        <w:rPr>
          <w:rFonts w:ascii="David" w:hAnsi="David"/>
          <w:b w:val="0"/>
          <w:sz w:val="22"/>
          <w:rtl w:val="1"/>
        </w:rPr>
        <w:t>א. הסימולציה והשאלון מתואמים חיובית ומובהק (r=0.24), המאשש את תוקף הסימולציה כמדד פעלנות.</w:t>
      </w:r>
    </w:p>
    <w:p>
      <w:pPr>
        <w:bidi/>
        <w:jc w:val="right"/>
      </w:pPr>
      <w:r>
        <w:rPr>
          <w:rFonts w:ascii="David" w:hAnsi="David"/>
          <w:b w:val="0"/>
          <w:sz w:val="22"/>
          <w:rtl w:val="1"/>
        </w:rPr>
        <w:t>ב. המתאם המתון מלמד כי הסימולציה אינה משכפלת את השאלון אלא מוסיפה מידע התנהגותי ייחודי.</w:t>
      </w:r>
    </w:p>
    <w:p>
      <w:pPr>
        <w:bidi/>
        <w:jc w:val="right"/>
      </w:pPr>
      <w:r>
        <w:rPr>
          <w:rFonts w:ascii="David" w:hAnsi="David"/>
          <w:b w:val="0"/>
          <w:sz w:val="22"/>
          <w:rtl w:val="1"/>
        </w:rPr>
        <w:t>ג. מוטיבציה ויוזמה הם מנבאי הליבה של הביצוע ההתנהגותי.</w:t>
      </w:r>
    </w:p>
    <w:p>
      <w:pPr>
        <w:bidi/>
        <w:jc w:val="right"/>
      </w:pPr>
      <w:r>
        <w:rPr>
          <w:rFonts w:ascii="David" w:hAnsi="David"/>
          <w:b w:val="0"/>
          <w:sz w:val="22"/>
          <w:rtl w:val="1"/>
        </w:rPr>
        <w:t>ד. דפוס הניבוי משתנה באופן מהותי בסביבת AI: כוח הניבוי יורד והדומיננטיות עוברת ממוטיבציה ליוזמה.</w:t>
      </w:r>
    </w:p>
    <w:p>
      <w:pPr>
        <w:bidi/>
        <w:jc w:val="right"/>
      </w:pPr>
      <w:r>
        <w:rPr>
          <w:rFonts w:ascii="David" w:hAnsi="David"/>
          <w:b w:val="0"/>
          <w:sz w:val="22"/>
          <w:rtl w:val="1"/>
        </w:rPr>
        <w:t>ה. ה-AI אינו מצמצם באופן מובהק את הפערים בביצוע בין התלמידים.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