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Calibri" w:hAnsi="Calibri"/>
          <w:b/>
          <w:color w:val="2E74B5"/>
          <w:sz w:val="20"/>
        </w:rPr>
        <w:t>TECHNICAL REPORT</w:t>
      </w:r>
    </w:p>
    <w:p>
      <w:pPr>
        <w:spacing w:after="140"/>
      </w:pPr>
      <w:r>
        <w:rPr>
          <w:rFonts w:ascii="Calibri" w:hAnsi="Calibri"/>
          <w:b/>
          <w:color w:val="203748"/>
          <w:sz w:val="54"/>
        </w:rPr>
        <w:t>ESG Chunk Dataset and</w:t>
        <w:br/>
        <w:t>2,000-Chunk Handoff</w:t>
      </w:r>
    </w:p>
    <w:p>
      <w:pPr>
        <w:spacing w:after="360"/>
      </w:pPr>
      <w:r>
        <w:rPr>
          <w:rFonts w:ascii="Calibri" w:hAnsi="Calibri"/>
          <w:color w:val="667085"/>
          <w:sz w:val="26"/>
        </w:rPr>
        <w:t>Current build status, sample design, validation, and review guide</w:t>
      </w:r>
    </w:p>
    <w:tbl>
      <w:tblPr>
        <w:tblW w:type="dxa" w:w="9360"/>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tcPr>
          <w:p>
            <w:r>
              <w:rPr>
                <w:rFonts w:ascii="Calibri" w:hAnsi="Calibri"/>
                <w:b/>
                <w:color w:val="1F4D78"/>
                <w:sz w:val="20"/>
              </w:rPr>
              <w:t>Dataset</w:t>
            </w:r>
          </w:p>
        </w:tc>
        <w:tc>
          <w:tcPr>
            <w:tcW w:type="dxa" w:w="7560"/>
            <w:tcMar>
              <w:top w:w="80" w:type="dxa"/>
              <w:start w:w="120" w:type="dxa"/>
              <w:bottom w:w="80" w:type="dxa"/>
              <w:end w:w="120" w:type="dxa"/>
            </w:tcMar>
            <w:vAlign w:val="center"/>
          </w:tcPr>
          <w:p>
            <w:r>
              <w:rPr>
                <w:rFonts w:ascii="Calibri" w:hAnsi="Calibri"/>
                <w:b w:val="0"/>
                <w:color w:val="202124"/>
                <w:sz w:val="20"/>
              </w:rPr>
              <w:t>esg_3b1c0196c0f9</w:t>
            </w:r>
          </w:p>
        </w:tc>
      </w:tr>
      <w:tr>
        <w:tc>
          <w:tcPr>
            <w:tcW w:type="dxa" w:w="1800"/>
            <w:tcMar>
              <w:top w:w="80" w:type="dxa"/>
              <w:start w:w="120" w:type="dxa"/>
              <w:bottom w:w="80" w:type="dxa"/>
              <w:end w:w="120" w:type="dxa"/>
            </w:tcMar>
            <w:vAlign w:val="center"/>
          </w:tcPr>
          <w:p>
            <w:r>
              <w:rPr>
                <w:rFonts w:ascii="Calibri" w:hAnsi="Calibri"/>
                <w:b/>
                <w:color w:val="1F4D78"/>
                <w:sz w:val="20"/>
              </w:rPr>
              <w:t>Chunk version</w:t>
            </w:r>
          </w:p>
        </w:tc>
        <w:tc>
          <w:tcPr>
            <w:tcW w:type="dxa" w:w="7560"/>
            <w:tcMar>
              <w:top w:w="80" w:type="dxa"/>
              <w:start w:w="120" w:type="dxa"/>
              <w:bottom w:w="80" w:type="dxa"/>
              <w:end w:w="120" w:type="dxa"/>
            </w:tcMar>
            <w:vAlign w:val="center"/>
          </w:tcPr>
          <w:p>
            <w:r>
              <w:rPr>
                <w:rFonts w:ascii="Calibri" w:hAnsi="Calibri"/>
                <w:b w:val="0"/>
                <w:color w:val="202124"/>
                <w:sz w:val="20"/>
              </w:rPr>
              <w:t>esg_chunk_v3</w:t>
            </w:r>
          </w:p>
        </w:tc>
      </w:tr>
      <w:tr>
        <w:tc>
          <w:tcPr>
            <w:tcW w:type="dxa" w:w="1800"/>
            <w:tcMar>
              <w:top w:w="80" w:type="dxa"/>
              <w:start w:w="120" w:type="dxa"/>
              <w:bottom w:w="80" w:type="dxa"/>
              <w:end w:w="120" w:type="dxa"/>
            </w:tcMar>
            <w:vAlign w:val="center"/>
          </w:tcPr>
          <w:p>
            <w:r>
              <w:rPr>
                <w:rFonts w:ascii="Calibri" w:hAnsi="Calibri"/>
                <w:b/>
                <w:color w:val="1F4D78"/>
                <w:sz w:val="20"/>
              </w:rPr>
              <w:t>Report date</w:t>
            </w:r>
          </w:p>
        </w:tc>
        <w:tc>
          <w:tcPr>
            <w:tcW w:type="dxa" w:w="7560"/>
            <w:tcMar>
              <w:top w:w="80" w:type="dxa"/>
              <w:start w:w="120" w:type="dxa"/>
              <w:bottom w:w="80" w:type="dxa"/>
              <w:end w:w="120" w:type="dxa"/>
            </w:tcMar>
            <w:vAlign w:val="center"/>
          </w:tcPr>
          <w:p>
            <w:r>
              <w:rPr>
                <w:rFonts w:ascii="Calibri" w:hAnsi="Calibri"/>
                <w:b w:val="0"/>
                <w:color w:val="202124"/>
                <w:sz w:val="20"/>
              </w:rPr>
              <w:t>31 July 2026</w:t>
            </w:r>
          </w:p>
        </w:tc>
      </w:tr>
      <w:tr>
        <w:tc>
          <w:tcPr>
            <w:tcW w:type="dxa" w:w="1800"/>
            <w:tcMar>
              <w:top w:w="80" w:type="dxa"/>
              <w:start w:w="120" w:type="dxa"/>
              <w:bottom w:w="80" w:type="dxa"/>
              <w:end w:w="120" w:type="dxa"/>
            </w:tcMar>
            <w:vAlign w:val="center"/>
          </w:tcPr>
          <w:p>
            <w:r>
              <w:rPr>
                <w:rFonts w:ascii="Calibri" w:hAnsi="Calibri"/>
                <w:b/>
                <w:color w:val="1F4D78"/>
                <w:sz w:val="20"/>
              </w:rPr>
              <w:t>Audience</w:t>
            </w:r>
          </w:p>
        </w:tc>
        <w:tc>
          <w:tcPr>
            <w:tcW w:type="dxa" w:w="7560"/>
            <w:tcMar>
              <w:top w:w="80" w:type="dxa"/>
              <w:start w:w="120" w:type="dxa"/>
              <w:bottom w:w="80" w:type="dxa"/>
              <w:end w:w="120" w:type="dxa"/>
            </w:tcMar>
            <w:vAlign w:val="center"/>
          </w:tcPr>
          <w:p>
            <w:r>
              <w:rPr>
                <w:rFonts w:ascii="Calibri" w:hAnsi="Calibri"/>
                <w:b w:val="0"/>
                <w:color w:val="202124"/>
                <w:sz w:val="20"/>
              </w:rPr>
              <w:t>Technical review team</w:t>
            </w:r>
          </w:p>
        </w:tc>
      </w:tr>
    </w:tbl>
    <w:p/>
    <w:tbl>
      <w:tblPr>
        <w:tblW w:type="dxa" w:w="9360"/>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AF2F8"/>
          </w:tcPr>
          <w:p>
            <w:pPr>
              <w:spacing w:after="20"/>
              <w:jc w:val="center"/>
            </w:pPr>
            <w:r>
              <w:rPr>
                <w:rFonts w:ascii="Calibri" w:hAnsi="Calibri"/>
                <w:b/>
                <w:color w:val="1F4D78"/>
                <w:sz w:val="34"/>
              </w:rPr>
              <w:t>17,329</w:t>
            </w:r>
          </w:p>
          <w:p>
            <w:pPr>
              <w:spacing w:after="0"/>
              <w:jc w:val="center"/>
            </w:pPr>
            <w:r>
              <w:rPr>
                <w:rFonts w:ascii="Calibri" w:hAnsi="Calibri"/>
                <w:b/>
                <w:color w:val="667085"/>
                <w:sz w:val="17"/>
              </w:rPr>
              <w:t>CURRENT CHUNKS</w:t>
            </w:r>
          </w:p>
        </w:tc>
        <w:tc>
          <w:tcPr>
            <w:tcW w:type="dxa" w:w="2340"/>
            <w:tcMar>
              <w:top w:w="80" w:type="dxa"/>
              <w:start w:w="120" w:type="dxa"/>
              <w:bottom w:w="80" w:type="dxa"/>
              <w:end w:w="120" w:type="dxa"/>
            </w:tcMar>
            <w:vAlign w:val="center"/>
            <w:shd w:fill="EAF2F8"/>
          </w:tcPr>
          <w:p>
            <w:pPr>
              <w:spacing w:after="20"/>
              <w:jc w:val="center"/>
            </w:pPr>
            <w:r>
              <w:rPr>
                <w:rFonts w:ascii="Calibri" w:hAnsi="Calibri"/>
                <w:b/>
                <w:color w:val="1F4D78"/>
                <w:sz w:val="34"/>
              </w:rPr>
              <w:t>2,000</w:t>
            </w:r>
          </w:p>
          <w:p>
            <w:pPr>
              <w:spacing w:after="0"/>
              <w:jc w:val="center"/>
            </w:pPr>
            <w:r>
              <w:rPr>
                <w:rFonts w:ascii="Calibri" w:hAnsi="Calibri"/>
                <w:b/>
                <w:color w:val="667085"/>
                <w:sz w:val="17"/>
              </w:rPr>
              <w:t>HANDOFF ROWS</w:t>
            </w:r>
          </w:p>
        </w:tc>
        <w:tc>
          <w:tcPr>
            <w:tcW w:type="dxa" w:w="2340"/>
            <w:tcMar>
              <w:top w:w="80" w:type="dxa"/>
              <w:start w:w="120" w:type="dxa"/>
              <w:bottom w:w="80" w:type="dxa"/>
              <w:end w:w="120" w:type="dxa"/>
            </w:tcMar>
            <w:vAlign w:val="center"/>
            <w:shd w:fill="EAF2F8"/>
          </w:tcPr>
          <w:p>
            <w:pPr>
              <w:spacing w:after="20"/>
              <w:jc w:val="center"/>
            </w:pPr>
            <w:r>
              <w:rPr>
                <w:rFonts w:ascii="Calibri" w:hAnsi="Calibri"/>
                <w:b/>
                <w:color w:val="1F4D78"/>
                <w:sz w:val="34"/>
              </w:rPr>
              <w:t>18</w:t>
            </w:r>
          </w:p>
          <w:p>
            <w:pPr>
              <w:spacing w:after="0"/>
              <w:jc w:val="center"/>
            </w:pPr>
            <w:r>
              <w:rPr>
                <w:rFonts w:ascii="Calibri" w:hAnsi="Calibri"/>
                <w:b/>
                <w:color w:val="667085"/>
                <w:sz w:val="17"/>
              </w:rPr>
              <w:t>ESG TOPICS</w:t>
            </w:r>
          </w:p>
        </w:tc>
        <w:tc>
          <w:tcPr>
            <w:tcW w:type="dxa" w:w="2340"/>
            <w:tcMar>
              <w:top w:w="80" w:type="dxa"/>
              <w:start w:w="120" w:type="dxa"/>
              <w:bottom w:w="80" w:type="dxa"/>
              <w:end w:w="120" w:type="dxa"/>
            </w:tcMar>
            <w:vAlign w:val="center"/>
            <w:shd w:fill="EAF2F8"/>
          </w:tcPr>
          <w:p>
            <w:pPr>
              <w:spacing w:after="20"/>
              <w:jc w:val="center"/>
            </w:pPr>
            <w:r>
              <w:rPr>
                <w:rFonts w:ascii="Calibri" w:hAnsi="Calibri"/>
                <w:b/>
                <w:color w:val="1F4D78"/>
                <w:sz w:val="34"/>
              </w:rPr>
              <w:t>0</w:t>
            </w:r>
          </w:p>
          <w:p>
            <w:pPr>
              <w:spacing w:after="0"/>
              <w:jc w:val="center"/>
            </w:pPr>
            <w:r>
              <w:rPr>
                <w:rFonts w:ascii="Calibri" w:hAnsi="Calibri"/>
                <w:b/>
                <w:color w:val="667085"/>
                <w:sz w:val="17"/>
              </w:rPr>
              <w:t>VALIDATION ERRORS</w:t>
            </w:r>
          </w:p>
        </w:tc>
      </w:tr>
    </w:tbl>
    <w:p>
      <w:pPr>
        <w:spacing w:after="0"/>
      </w:pPr>
    </w:p>
    <w:p>
      <w:pPr>
        <w:pStyle w:val="Heading1"/>
      </w:pPr>
      <w:r>
        <w:t>Technical summary</w:t>
      </w:r>
    </w:p>
    <w:p>
      <w:r>
        <w:t>The new chunk dataset is built and internally aligned. It uses contiguous_v2 sectioning, esg_chunk_v3 chunking, and esg_embed_ctx_v2 embedding context. Every live chunk has an exact page citation. The vector manifest matches the current chunk set. The vector database has not been rebuilt, so search will not use this build until that final load is run.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0"/>
            </w:pPr>
            <w:r>
              <w:rPr>
                <w:rFonts w:ascii="Calibri" w:hAnsi="Calibri"/>
                <w:b/>
                <w:color w:val="1F4D78"/>
                <w:sz w:val="21"/>
              </w:rPr>
              <w:t xml:space="preserve">Bottom line: </w:t>
            </w:r>
            <w:r>
              <w:rPr>
                <w:rFonts w:ascii="Calibri" w:hAnsi="Calibri"/>
                <w:color w:val="202124"/>
                <w:sz w:val="21"/>
              </w:rPr>
              <w:t>The text, sections, chunks, citations, embedding inputs, and manifest are current. The remaining system step is rebuilding the vector database after human review or approval.</w:t>
            </w:r>
          </w:p>
        </w:tc>
      </w:tr>
    </w:tbl>
    <w:p>
      <w:pPr>
        <w:pStyle w:val="Heading1"/>
      </w:pPr>
      <w:r>
        <w:t>Current dataset status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F2F4F7"/>
          </w:tcPr>
          <w:p>
            <w:r>
              <w:rPr>
                <w:rFonts w:ascii="Calibri" w:hAnsi="Calibri"/>
                <w:b/>
                <w:color w:val="203748"/>
                <w:sz w:val="20"/>
              </w:rPr>
              <w:t>Item</w:t>
            </w:r>
          </w:p>
        </w:tc>
        <w:tc>
          <w:tcPr>
            <w:tcW w:type="dxa" w:w="6760"/>
            <w:tcMar>
              <w:top w:w="80" w:type="dxa"/>
              <w:start w:w="120" w:type="dxa"/>
              <w:bottom w:w="80" w:type="dxa"/>
              <w:end w:w="120" w:type="dxa"/>
            </w:tcMar>
            <w:vAlign w:val="center"/>
            <w:shd w:fill="F2F4F7"/>
          </w:tcPr>
          <w:p>
            <w:r>
              <w:rPr>
                <w:rFonts w:ascii="Calibri" w:hAnsi="Calibri"/>
                <w:b/>
                <w:color w:val="203748"/>
                <w:sz w:val="20"/>
              </w:rPr>
              <w:t>Current state</w:t>
            </w:r>
          </w:p>
        </w:tc>
      </w:tr>
      <w:tr>
        <w:tc>
          <w:tcPr>
            <w:tcW w:type="dxa" w:w="2600"/>
            <w:tcMar>
              <w:top w:w="80" w:type="dxa"/>
              <w:start w:w="120" w:type="dxa"/>
              <w:bottom w:w="80" w:type="dxa"/>
              <w:end w:w="120" w:type="dxa"/>
            </w:tcMar>
            <w:vAlign w:val="center"/>
          </w:tcPr>
          <w:p>
            <w:r>
              <w:rPr>
                <w:rFonts w:ascii="Calibri" w:hAnsi="Calibri"/>
                <w:b/>
                <w:color w:val="1F4D78"/>
                <w:sz w:val="20"/>
              </w:rPr>
              <w:t>Dataset ID</w:t>
            </w:r>
          </w:p>
        </w:tc>
        <w:tc>
          <w:tcPr>
            <w:tcW w:type="dxa" w:w="6760"/>
            <w:tcMar>
              <w:top w:w="80" w:type="dxa"/>
              <w:start w:w="120" w:type="dxa"/>
              <w:bottom w:w="80" w:type="dxa"/>
              <w:end w:w="120" w:type="dxa"/>
            </w:tcMar>
            <w:vAlign w:val="center"/>
          </w:tcPr>
          <w:p>
            <w:r>
              <w:rPr>
                <w:rFonts w:ascii="Calibri" w:hAnsi="Calibri"/>
                <w:b w:val="0"/>
                <w:color w:val="202124"/>
                <w:sz w:val="20"/>
              </w:rPr>
              <w:t>esg_3b1c0196c0f9</w:t>
            </w:r>
          </w:p>
        </w:tc>
      </w:tr>
      <w:tr>
        <w:tc>
          <w:tcPr>
            <w:tcW w:type="dxa" w:w="2600"/>
            <w:tcMar>
              <w:top w:w="80" w:type="dxa"/>
              <w:start w:w="120" w:type="dxa"/>
              <w:bottom w:w="80" w:type="dxa"/>
              <w:end w:w="120" w:type="dxa"/>
            </w:tcMar>
            <w:vAlign w:val="center"/>
          </w:tcPr>
          <w:p>
            <w:r>
              <w:rPr>
                <w:rFonts w:ascii="Calibri" w:hAnsi="Calibri"/>
                <w:b/>
                <w:color w:val="1F4D78"/>
                <w:sz w:val="20"/>
              </w:rPr>
              <w:t>Sectioning</w:t>
            </w:r>
          </w:p>
        </w:tc>
        <w:tc>
          <w:tcPr>
            <w:tcW w:type="dxa" w:w="6760"/>
            <w:tcMar>
              <w:top w:w="80" w:type="dxa"/>
              <w:start w:w="120" w:type="dxa"/>
              <w:bottom w:w="80" w:type="dxa"/>
              <w:end w:w="120" w:type="dxa"/>
            </w:tcMar>
            <w:vAlign w:val="center"/>
          </w:tcPr>
          <w:p>
            <w:r>
              <w:rPr>
                <w:rFonts w:ascii="Calibri" w:hAnsi="Calibri"/>
                <w:b w:val="0"/>
                <w:color w:val="202124"/>
                <w:sz w:val="20"/>
              </w:rPr>
              <w:t>9,819 sections • contiguous_v2</w:t>
            </w:r>
          </w:p>
        </w:tc>
      </w:tr>
      <w:tr>
        <w:tc>
          <w:tcPr>
            <w:tcW w:type="dxa" w:w="2600"/>
            <w:tcMar>
              <w:top w:w="80" w:type="dxa"/>
              <w:start w:w="120" w:type="dxa"/>
              <w:bottom w:w="80" w:type="dxa"/>
              <w:end w:w="120" w:type="dxa"/>
            </w:tcMar>
            <w:vAlign w:val="center"/>
          </w:tcPr>
          <w:p>
            <w:r>
              <w:rPr>
                <w:rFonts w:ascii="Calibri" w:hAnsi="Calibri"/>
                <w:b/>
                <w:color w:val="1F4D78"/>
                <w:sz w:val="20"/>
              </w:rPr>
              <w:t>Chunking</w:t>
            </w:r>
          </w:p>
        </w:tc>
        <w:tc>
          <w:tcPr>
            <w:tcW w:type="dxa" w:w="6760"/>
            <w:tcMar>
              <w:top w:w="80" w:type="dxa"/>
              <w:start w:w="120" w:type="dxa"/>
              <w:bottom w:w="80" w:type="dxa"/>
              <w:end w:w="120" w:type="dxa"/>
            </w:tcMar>
            <w:vAlign w:val="center"/>
          </w:tcPr>
          <w:p>
            <w:r>
              <w:rPr>
                <w:rFonts w:ascii="Calibri" w:hAnsi="Calibri"/>
                <w:b w:val="0"/>
                <w:color w:val="202124"/>
                <w:sz w:val="20"/>
              </w:rPr>
              <w:t>17,329 chunks • esg_chunk_v3</w:t>
            </w:r>
          </w:p>
        </w:tc>
      </w:tr>
      <w:tr>
        <w:tc>
          <w:tcPr>
            <w:tcW w:type="dxa" w:w="2600"/>
            <w:tcMar>
              <w:top w:w="80" w:type="dxa"/>
              <w:start w:w="120" w:type="dxa"/>
              <w:bottom w:w="80" w:type="dxa"/>
              <w:end w:w="120" w:type="dxa"/>
            </w:tcMar>
            <w:vAlign w:val="center"/>
          </w:tcPr>
          <w:p>
            <w:r>
              <w:rPr>
                <w:rFonts w:ascii="Calibri" w:hAnsi="Calibri"/>
                <w:b/>
                <w:color w:val="1F4D78"/>
                <w:sz w:val="20"/>
              </w:rPr>
              <w:t>Embedding context</w:t>
            </w:r>
          </w:p>
        </w:tc>
        <w:tc>
          <w:tcPr>
            <w:tcW w:type="dxa" w:w="6760"/>
            <w:tcMar>
              <w:top w:w="80" w:type="dxa"/>
              <w:start w:w="120" w:type="dxa"/>
              <w:bottom w:w="80" w:type="dxa"/>
              <w:end w:w="120" w:type="dxa"/>
            </w:tcMar>
            <w:vAlign w:val="center"/>
          </w:tcPr>
          <w:p>
            <w:r>
              <w:rPr>
                <w:rFonts w:ascii="Calibri" w:hAnsi="Calibri"/>
                <w:b w:val="0"/>
                <w:color w:val="202124"/>
                <w:sz w:val="20"/>
              </w:rPr>
              <w:t>17,329 rows • esg_embed_ctx_v2</w:t>
            </w:r>
          </w:p>
        </w:tc>
      </w:tr>
      <w:tr>
        <w:tc>
          <w:tcPr>
            <w:tcW w:type="dxa" w:w="2600"/>
            <w:tcMar>
              <w:top w:w="80" w:type="dxa"/>
              <w:start w:w="120" w:type="dxa"/>
              <w:bottom w:w="80" w:type="dxa"/>
              <w:end w:w="120" w:type="dxa"/>
            </w:tcMar>
            <w:vAlign w:val="center"/>
          </w:tcPr>
          <w:p>
            <w:r>
              <w:rPr>
                <w:rFonts w:ascii="Calibri" w:hAnsi="Calibri"/>
                <w:b/>
                <w:color w:val="1F4D78"/>
                <w:sz w:val="20"/>
              </w:rPr>
              <w:t>Token bounds</w:t>
            </w:r>
          </w:p>
        </w:tc>
        <w:tc>
          <w:tcPr>
            <w:tcW w:type="dxa" w:w="6760"/>
            <w:tcMar>
              <w:top w:w="80" w:type="dxa"/>
              <w:start w:w="120" w:type="dxa"/>
              <w:bottom w:w="80" w:type="dxa"/>
              <w:end w:w="120" w:type="dxa"/>
            </w:tcMar>
            <w:vAlign w:val="center"/>
          </w:tcPr>
          <w:p>
            <w:r>
              <w:rPr>
                <w:rFonts w:ascii="Calibri" w:hAnsi="Calibri"/>
                <w:b w:val="0"/>
                <w:color w:val="202124"/>
                <w:sz w:val="20"/>
              </w:rPr>
              <w:t>51–500 BGE tokens in the live dataset</w:t>
            </w:r>
          </w:p>
        </w:tc>
      </w:tr>
      <w:tr>
        <w:tc>
          <w:tcPr>
            <w:tcW w:type="dxa" w:w="2600"/>
            <w:tcMar>
              <w:top w:w="80" w:type="dxa"/>
              <w:start w:w="120" w:type="dxa"/>
              <w:bottom w:w="80" w:type="dxa"/>
              <w:end w:w="120" w:type="dxa"/>
            </w:tcMar>
            <w:vAlign w:val="center"/>
          </w:tcPr>
          <w:p>
            <w:r>
              <w:rPr>
                <w:rFonts w:ascii="Calibri" w:hAnsi="Calibri"/>
                <w:b/>
                <w:color w:val="1F4D78"/>
                <w:sz w:val="20"/>
              </w:rPr>
              <w:t>Citations</w:t>
            </w:r>
          </w:p>
        </w:tc>
        <w:tc>
          <w:tcPr>
            <w:tcW w:type="dxa" w:w="6760"/>
            <w:tcMar>
              <w:top w:w="80" w:type="dxa"/>
              <w:start w:w="120" w:type="dxa"/>
              <w:bottom w:w="80" w:type="dxa"/>
              <w:end w:w="120" w:type="dxa"/>
            </w:tcMar>
            <w:vAlign w:val="center"/>
          </w:tcPr>
          <w:p>
            <w:r>
              <w:rPr>
                <w:rFonts w:ascii="Calibri" w:hAnsi="Calibri"/>
                <w:b w:val="0"/>
                <w:color w:val="202124"/>
                <w:sz w:val="20"/>
              </w:rPr>
              <w:t>17,329 exact page citations</w:t>
            </w:r>
          </w:p>
        </w:tc>
      </w:tr>
      <w:tr>
        <w:tc>
          <w:tcPr>
            <w:tcW w:type="dxa" w:w="2600"/>
            <w:tcMar>
              <w:top w:w="80" w:type="dxa"/>
              <w:start w:w="120" w:type="dxa"/>
              <w:bottom w:w="80" w:type="dxa"/>
              <w:end w:w="120" w:type="dxa"/>
            </w:tcMar>
            <w:vAlign w:val="center"/>
          </w:tcPr>
          <w:p>
            <w:r>
              <w:rPr>
                <w:rFonts w:ascii="Calibri" w:hAnsi="Calibri"/>
                <w:b/>
                <w:color w:val="1F4D78"/>
                <w:sz w:val="20"/>
              </w:rPr>
              <w:t>Vector manifest</w:t>
            </w:r>
          </w:p>
        </w:tc>
        <w:tc>
          <w:tcPr>
            <w:tcW w:type="dxa" w:w="6760"/>
            <w:tcMar>
              <w:top w:w="80" w:type="dxa"/>
              <w:start w:w="120" w:type="dxa"/>
              <w:bottom w:w="80" w:type="dxa"/>
              <w:end w:w="120" w:type="dxa"/>
            </w:tcMar>
            <w:vAlign w:val="center"/>
          </w:tcPr>
          <w:p>
            <w:r>
              <w:rPr>
                <w:rFonts w:ascii="Calibri" w:hAnsi="Calibri"/>
                <w:b w:val="0"/>
                <w:color w:val="202124"/>
                <w:sz w:val="20"/>
              </w:rPr>
              <w:t>Rebuilt for all current chunks</w:t>
            </w:r>
          </w:p>
        </w:tc>
      </w:tr>
      <w:tr>
        <w:tc>
          <w:tcPr>
            <w:tcW w:type="dxa" w:w="2600"/>
            <w:tcMar>
              <w:top w:w="80" w:type="dxa"/>
              <w:start w:w="120" w:type="dxa"/>
              <w:bottom w:w="80" w:type="dxa"/>
              <w:end w:w="120" w:type="dxa"/>
            </w:tcMar>
            <w:vAlign w:val="center"/>
          </w:tcPr>
          <w:p>
            <w:r>
              <w:rPr>
                <w:rFonts w:ascii="Calibri" w:hAnsi="Calibri"/>
                <w:b/>
                <w:color w:val="1F4D78"/>
                <w:sz w:val="20"/>
              </w:rPr>
              <w:t>Vector database</w:t>
            </w:r>
          </w:p>
        </w:tc>
        <w:tc>
          <w:tcPr>
            <w:tcW w:type="dxa" w:w="6760"/>
            <w:tcMar>
              <w:top w:w="80" w:type="dxa"/>
              <w:start w:w="120" w:type="dxa"/>
              <w:bottom w:w="80" w:type="dxa"/>
              <w:end w:w="120" w:type="dxa"/>
            </w:tcMar>
            <w:vAlign w:val="center"/>
          </w:tcPr>
          <w:p>
            <w:r>
              <w:rPr>
                <w:rFonts w:ascii="Calibri" w:hAnsi="Calibri"/>
                <w:b w:val="0"/>
                <w:color w:val="202124"/>
                <w:sz w:val="20"/>
              </w:rPr>
              <w:t>Not rebuilt yet</w:t>
            </w:r>
          </w:p>
        </w:tc>
      </w:tr>
    </w:tbl>
    <w:p>
      <w:r>
        <w:br w:type="page"/>
      </w:r>
    </w:p>
    <w:p>
      <w:pPr>
        <w:pStyle w:val="Heading1"/>
      </w:pPr>
      <w:r>
        <w:t>Live chunk statistics</w:t>
      </w:r>
    </w:p>
    <w:p>
      <w:r>
        <w:t>These figures describe all 17,329 current chunks. Token counts use the final BGE embedding input, including the metadata prefix and table context when present.</w:t>
      </w:r>
    </w:p>
    <w:tbl>
      <w:tblPr>
        <w:tblW w:type="dxa" w:w="9360"/>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AF2F8"/>
          </w:tcPr>
          <w:p>
            <w:pPr>
              <w:spacing w:after="20"/>
              <w:jc w:val="center"/>
            </w:pPr>
            <w:r>
              <w:rPr>
                <w:rFonts w:ascii="Calibri" w:hAnsi="Calibri"/>
                <w:b/>
                <w:color w:val="1F4D78"/>
                <w:sz w:val="34"/>
              </w:rPr>
              <w:t>402</w:t>
            </w:r>
          </w:p>
          <w:p>
            <w:pPr>
              <w:spacing w:after="0"/>
              <w:jc w:val="center"/>
            </w:pPr>
            <w:r>
              <w:rPr>
                <w:rFonts w:ascii="Calibri" w:hAnsi="Calibri"/>
                <w:b/>
                <w:color w:val="667085"/>
                <w:sz w:val="17"/>
              </w:rPr>
              <w:t>MEDIAN TOKENS</w:t>
            </w:r>
          </w:p>
        </w:tc>
        <w:tc>
          <w:tcPr>
            <w:tcW w:type="dxa" w:w="2340"/>
            <w:tcMar>
              <w:top w:w="80" w:type="dxa"/>
              <w:start w:w="120" w:type="dxa"/>
              <w:bottom w:w="80" w:type="dxa"/>
              <w:end w:w="120" w:type="dxa"/>
            </w:tcMar>
            <w:vAlign w:val="center"/>
            <w:shd w:fill="EAF2F8"/>
          </w:tcPr>
          <w:p>
            <w:pPr>
              <w:spacing w:after="20"/>
              <w:jc w:val="center"/>
            </w:pPr>
            <w:r>
              <w:rPr>
                <w:rFonts w:ascii="Calibri" w:hAnsi="Calibri"/>
                <w:b/>
                <w:color w:val="1F4D78"/>
                <w:sz w:val="34"/>
              </w:rPr>
              <w:t>8,005</w:t>
            </w:r>
          </w:p>
          <w:p>
            <w:pPr>
              <w:spacing w:after="0"/>
              <w:jc w:val="center"/>
            </w:pPr>
            <w:r>
              <w:rPr>
                <w:rFonts w:ascii="Calibri" w:hAnsi="Calibri"/>
                <w:b/>
                <w:color w:val="667085"/>
                <w:sz w:val="17"/>
              </w:rPr>
              <w:t>ONE-PAGE CHUNKS</w:t>
            </w:r>
          </w:p>
        </w:tc>
        <w:tc>
          <w:tcPr>
            <w:tcW w:type="dxa" w:w="2340"/>
            <w:tcMar>
              <w:top w:w="80" w:type="dxa"/>
              <w:start w:w="120" w:type="dxa"/>
              <w:bottom w:w="80" w:type="dxa"/>
              <w:end w:w="120" w:type="dxa"/>
            </w:tcMar>
            <w:vAlign w:val="center"/>
            <w:shd w:fill="EAF2F8"/>
          </w:tcPr>
          <w:p>
            <w:pPr>
              <w:spacing w:after="20"/>
              <w:jc w:val="center"/>
            </w:pPr>
            <w:r>
              <w:rPr>
                <w:rFonts w:ascii="Calibri" w:hAnsi="Calibri"/>
                <w:b/>
                <w:color w:val="1F4D78"/>
                <w:sz w:val="34"/>
              </w:rPr>
              <w:t>9,324</w:t>
            </w:r>
          </w:p>
          <w:p>
            <w:pPr>
              <w:spacing w:after="0"/>
              <w:jc w:val="center"/>
            </w:pPr>
            <w:r>
              <w:rPr>
                <w:rFonts w:ascii="Calibri" w:hAnsi="Calibri"/>
                <w:b/>
                <w:color w:val="667085"/>
                <w:sz w:val="17"/>
              </w:rPr>
              <w:t>MULTI-PAGE CHUNKS</w:t>
            </w:r>
          </w:p>
        </w:tc>
        <w:tc>
          <w:tcPr>
            <w:tcW w:type="dxa" w:w="2340"/>
            <w:tcMar>
              <w:top w:w="80" w:type="dxa"/>
              <w:start w:w="120" w:type="dxa"/>
              <w:bottom w:w="80" w:type="dxa"/>
              <w:end w:w="120" w:type="dxa"/>
            </w:tcMar>
            <w:vAlign w:val="center"/>
            <w:shd w:fill="EAF2F8"/>
          </w:tcPr>
          <w:p>
            <w:pPr>
              <w:spacing w:after="20"/>
              <w:jc w:val="center"/>
            </w:pPr>
            <w:r>
              <w:rPr>
                <w:rFonts w:ascii="Calibri" w:hAnsi="Calibri"/>
                <w:b/>
                <w:color w:val="1F4D78"/>
                <w:sz w:val="34"/>
              </w:rPr>
              <w:t>13,394</w:t>
            </w:r>
          </w:p>
          <w:p>
            <w:pPr>
              <w:spacing w:after="0"/>
              <w:jc w:val="center"/>
            </w:pPr>
            <w:r>
              <w:rPr>
                <w:rFonts w:ascii="Calibri" w:hAnsi="Calibri"/>
                <w:b/>
                <w:color w:val="667085"/>
                <w:sz w:val="17"/>
              </w:rPr>
              <w:t>NARRATIVE CHUNKS</w:t>
            </w:r>
          </w:p>
        </w:tc>
      </w:tr>
    </w:tbl>
    <w:p>
      <w:pPr>
        <w:spacing w:after="0"/>
      </w:pPr>
    </w:p>
    <w:p>
      <w:pPr>
        <w:pStyle w:val="Heading2"/>
      </w:pPr>
      <w:r>
        <w:t>Token length</w:t>
      </w:r>
    </w:p>
    <w:tbl>
      <w:tblPr>
        <w:tblStyle w:val="TableGrid"/>
        <w:tblW w:type="dxa" w:w="9360"/>
        <w:tblLayout w:type="fixed"/>
        <w:tblLook w:firstColumn="1" w:firstRow="1" w:lastColumn="0" w:lastRow="0" w:noHBand="0" w:noVBand="1" w:val="04A0"/>
        <w:tblInd w:w="120" w:type="dxa"/>
      </w:tblPr>
      <w:tblGrid>
        <w:gridCol w:w="1200"/>
        <w:gridCol w:w="1300"/>
        <w:gridCol w:w="1500"/>
        <w:gridCol w:w="1360"/>
        <w:gridCol w:w="1300"/>
        <w:gridCol w:w="1400"/>
        <w:gridCol w:w="1300"/>
      </w:tblGrid>
      <w:tr>
        <w:tc>
          <w:tcPr>
            <w:tcW w:type="dxa" w:w="1200"/>
            <w:tcMar>
              <w:top w:w="80" w:type="dxa"/>
              <w:start w:w="120" w:type="dxa"/>
              <w:bottom w:w="80" w:type="dxa"/>
              <w:end w:w="120" w:type="dxa"/>
            </w:tcMar>
            <w:vAlign w:val="center"/>
            <w:shd w:fill="F2F4F7"/>
          </w:tcPr>
          <w:p>
            <w:pPr>
              <w:jc w:val="center"/>
            </w:pPr>
            <w:r>
              <w:rPr>
                <w:rFonts w:ascii="Calibri" w:hAnsi="Calibri"/>
                <w:b/>
                <w:color w:val="203748"/>
                <w:sz w:val="18"/>
              </w:rPr>
              <w:t>Min</w:t>
            </w:r>
          </w:p>
        </w:tc>
        <w:tc>
          <w:tcPr>
            <w:tcW w:type="dxa" w:w="1300"/>
            <w:tcMar>
              <w:top w:w="80" w:type="dxa"/>
              <w:start w:w="120" w:type="dxa"/>
              <w:bottom w:w="80" w:type="dxa"/>
              <w:end w:w="120" w:type="dxa"/>
            </w:tcMar>
            <w:vAlign w:val="center"/>
            <w:shd w:fill="F2F4F7"/>
          </w:tcPr>
          <w:p>
            <w:pPr>
              <w:jc w:val="center"/>
            </w:pPr>
            <w:r>
              <w:rPr>
                <w:rFonts w:ascii="Calibri" w:hAnsi="Calibri"/>
                <w:b/>
                <w:color w:val="203748"/>
                <w:sz w:val="18"/>
              </w:rPr>
              <w:t>P25</w:t>
            </w:r>
          </w:p>
        </w:tc>
        <w:tc>
          <w:tcPr>
            <w:tcW w:type="dxa" w:w="1500"/>
            <w:tcMar>
              <w:top w:w="80" w:type="dxa"/>
              <w:start w:w="120" w:type="dxa"/>
              <w:bottom w:w="80" w:type="dxa"/>
              <w:end w:w="120" w:type="dxa"/>
            </w:tcMar>
            <w:vAlign w:val="center"/>
            <w:shd w:fill="F2F4F7"/>
          </w:tcPr>
          <w:p>
            <w:pPr>
              <w:jc w:val="center"/>
            </w:pPr>
            <w:r>
              <w:rPr>
                <w:rFonts w:ascii="Calibri" w:hAnsi="Calibri"/>
                <w:b/>
                <w:color w:val="203748"/>
                <w:sz w:val="18"/>
              </w:rPr>
              <w:t>Median</w:t>
            </w:r>
          </w:p>
        </w:tc>
        <w:tc>
          <w:tcPr>
            <w:tcW w:type="dxa" w:w="1360"/>
            <w:tcMar>
              <w:top w:w="80" w:type="dxa"/>
              <w:start w:w="120" w:type="dxa"/>
              <w:bottom w:w="80" w:type="dxa"/>
              <w:end w:w="120" w:type="dxa"/>
            </w:tcMar>
            <w:vAlign w:val="center"/>
            <w:shd w:fill="F2F4F7"/>
          </w:tcPr>
          <w:p>
            <w:pPr>
              <w:jc w:val="center"/>
            </w:pPr>
            <w:r>
              <w:rPr>
                <w:rFonts w:ascii="Calibri" w:hAnsi="Calibri"/>
                <w:b/>
                <w:color w:val="203748"/>
                <w:sz w:val="18"/>
              </w:rPr>
              <w:t>Mean</w:t>
            </w:r>
          </w:p>
        </w:tc>
        <w:tc>
          <w:tcPr>
            <w:tcW w:type="dxa" w:w="1300"/>
            <w:tcMar>
              <w:top w:w="80" w:type="dxa"/>
              <w:start w:w="120" w:type="dxa"/>
              <w:bottom w:w="80" w:type="dxa"/>
              <w:end w:w="120" w:type="dxa"/>
            </w:tcMar>
            <w:vAlign w:val="center"/>
            <w:shd w:fill="F2F4F7"/>
          </w:tcPr>
          <w:p>
            <w:pPr>
              <w:jc w:val="center"/>
            </w:pPr>
            <w:r>
              <w:rPr>
                <w:rFonts w:ascii="Calibri" w:hAnsi="Calibri"/>
                <w:b/>
                <w:color w:val="203748"/>
                <w:sz w:val="18"/>
              </w:rPr>
              <w:t>P75</w:t>
            </w:r>
          </w:p>
        </w:tc>
        <w:tc>
          <w:tcPr>
            <w:tcW w:type="dxa" w:w="1400"/>
            <w:tcMar>
              <w:top w:w="80" w:type="dxa"/>
              <w:start w:w="120" w:type="dxa"/>
              <w:bottom w:w="80" w:type="dxa"/>
              <w:end w:w="120" w:type="dxa"/>
            </w:tcMar>
            <w:vAlign w:val="center"/>
            <w:shd w:fill="F2F4F7"/>
          </w:tcPr>
          <w:p>
            <w:pPr>
              <w:jc w:val="center"/>
            </w:pPr>
            <w:r>
              <w:rPr>
                <w:rFonts w:ascii="Calibri" w:hAnsi="Calibri"/>
                <w:b/>
                <w:color w:val="203748"/>
                <w:sz w:val="18"/>
              </w:rPr>
              <w:t>P90</w:t>
            </w:r>
          </w:p>
        </w:tc>
        <w:tc>
          <w:tcPr>
            <w:tcW w:type="dxa" w:w="1300"/>
            <w:tcMar>
              <w:top w:w="80" w:type="dxa"/>
              <w:start w:w="120" w:type="dxa"/>
              <w:bottom w:w="80" w:type="dxa"/>
              <w:end w:w="120" w:type="dxa"/>
            </w:tcMar>
            <w:vAlign w:val="center"/>
            <w:shd w:fill="F2F4F7"/>
          </w:tcPr>
          <w:p>
            <w:pPr>
              <w:jc w:val="center"/>
            </w:pPr>
            <w:r>
              <w:rPr>
                <w:rFonts w:ascii="Calibri" w:hAnsi="Calibri"/>
                <w:b/>
                <w:color w:val="203748"/>
                <w:sz w:val="18"/>
              </w:rPr>
              <w:t>Max</w:t>
            </w:r>
          </w:p>
        </w:tc>
      </w:tr>
      <w:tr>
        <w:tc>
          <w:tcPr>
            <w:tcW w:type="dxa" w:w="1200"/>
            <w:tcMar>
              <w:top w:w="80" w:type="dxa"/>
              <w:start w:w="120" w:type="dxa"/>
              <w:bottom w:w="80" w:type="dxa"/>
              <w:end w:w="120" w:type="dxa"/>
            </w:tcMar>
            <w:vAlign w:val="center"/>
          </w:tcPr>
          <w:p>
            <w:pPr>
              <w:jc w:val="center"/>
            </w:pPr>
            <w:r>
              <w:rPr>
                <w:rFonts w:ascii="Calibri" w:hAnsi="Calibri"/>
                <w:b w:val="0"/>
                <w:color w:val="202124"/>
                <w:sz w:val="19"/>
              </w:rPr>
              <w:t>51</w:t>
            </w:r>
          </w:p>
        </w:tc>
        <w:tc>
          <w:tcPr>
            <w:tcW w:type="dxa" w:w="1300"/>
            <w:tcMar>
              <w:top w:w="80" w:type="dxa"/>
              <w:start w:w="120" w:type="dxa"/>
              <w:bottom w:w="80" w:type="dxa"/>
              <w:end w:w="120" w:type="dxa"/>
            </w:tcMar>
            <w:vAlign w:val="center"/>
          </w:tcPr>
          <w:p>
            <w:pPr>
              <w:jc w:val="center"/>
            </w:pPr>
            <w:r>
              <w:rPr>
                <w:rFonts w:ascii="Calibri" w:hAnsi="Calibri"/>
                <w:b w:val="0"/>
                <w:color w:val="202124"/>
                <w:sz w:val="19"/>
              </w:rPr>
              <w:t>222</w:t>
            </w:r>
          </w:p>
        </w:tc>
        <w:tc>
          <w:tcPr>
            <w:tcW w:type="dxa" w:w="1500"/>
            <w:tcMar>
              <w:top w:w="80" w:type="dxa"/>
              <w:start w:w="120" w:type="dxa"/>
              <w:bottom w:w="80" w:type="dxa"/>
              <w:end w:w="120" w:type="dxa"/>
            </w:tcMar>
            <w:vAlign w:val="center"/>
          </w:tcPr>
          <w:p>
            <w:pPr>
              <w:jc w:val="center"/>
            </w:pPr>
            <w:r>
              <w:rPr>
                <w:rFonts w:ascii="Calibri" w:hAnsi="Calibri"/>
                <w:b/>
                <w:color w:val="1F4D78"/>
                <w:sz w:val="19"/>
              </w:rPr>
              <w:t>402</w:t>
            </w:r>
          </w:p>
        </w:tc>
        <w:tc>
          <w:tcPr>
            <w:tcW w:type="dxa" w:w="1360"/>
            <w:tcMar>
              <w:top w:w="80" w:type="dxa"/>
              <w:start w:w="120" w:type="dxa"/>
              <w:bottom w:w="80" w:type="dxa"/>
              <w:end w:w="120" w:type="dxa"/>
            </w:tcMar>
            <w:vAlign w:val="center"/>
          </w:tcPr>
          <w:p>
            <w:pPr>
              <w:jc w:val="center"/>
            </w:pPr>
            <w:r>
              <w:rPr>
                <w:rFonts w:ascii="Calibri" w:hAnsi="Calibri"/>
                <w:b w:val="0"/>
                <w:color w:val="202124"/>
                <w:sz w:val="19"/>
              </w:rPr>
              <w:t>352.6</w:t>
            </w:r>
          </w:p>
        </w:tc>
        <w:tc>
          <w:tcPr>
            <w:tcW w:type="dxa" w:w="1300"/>
            <w:tcMar>
              <w:top w:w="80" w:type="dxa"/>
              <w:start w:w="120" w:type="dxa"/>
              <w:bottom w:w="80" w:type="dxa"/>
              <w:end w:w="120" w:type="dxa"/>
            </w:tcMar>
            <w:vAlign w:val="center"/>
          </w:tcPr>
          <w:p>
            <w:pPr>
              <w:jc w:val="center"/>
            </w:pPr>
            <w:r>
              <w:rPr>
                <w:rFonts w:ascii="Calibri" w:hAnsi="Calibri"/>
                <w:b w:val="0"/>
                <w:color w:val="202124"/>
                <w:sz w:val="19"/>
              </w:rPr>
              <w:t>482</w:t>
            </w:r>
          </w:p>
        </w:tc>
        <w:tc>
          <w:tcPr>
            <w:tcW w:type="dxa" w:w="1400"/>
            <w:tcMar>
              <w:top w:w="80" w:type="dxa"/>
              <w:start w:w="120" w:type="dxa"/>
              <w:bottom w:w="80" w:type="dxa"/>
              <w:end w:w="120" w:type="dxa"/>
            </w:tcMar>
            <w:vAlign w:val="center"/>
          </w:tcPr>
          <w:p>
            <w:pPr>
              <w:jc w:val="center"/>
            </w:pPr>
            <w:r>
              <w:rPr>
                <w:rFonts w:ascii="Calibri" w:hAnsi="Calibri"/>
                <w:b w:val="0"/>
                <w:color w:val="202124"/>
                <w:sz w:val="19"/>
              </w:rPr>
              <w:t>494</w:t>
            </w:r>
          </w:p>
        </w:tc>
        <w:tc>
          <w:tcPr>
            <w:tcW w:type="dxa" w:w="1300"/>
            <w:tcMar>
              <w:top w:w="80" w:type="dxa"/>
              <w:start w:w="120" w:type="dxa"/>
              <w:bottom w:w="80" w:type="dxa"/>
              <w:end w:w="120" w:type="dxa"/>
            </w:tcMar>
            <w:vAlign w:val="center"/>
          </w:tcPr>
          <w:p>
            <w:pPr>
              <w:jc w:val="center"/>
            </w:pPr>
            <w:r>
              <w:rPr>
                <w:rFonts w:ascii="Calibri" w:hAnsi="Calibri"/>
                <w:b w:val="0"/>
                <w:color w:val="202124"/>
                <w:sz w:val="19"/>
              </w:rPr>
              <w:t>500</w:t>
            </w:r>
          </w:p>
        </w:tc>
      </w:tr>
    </w:tbl>
    <w:p>
      <w:pPr>
        <w:pStyle w:val="Heading3"/>
      </w:pPr>
      <w:r>
        <w:t>Token-size buckets</w:t>
      </w:r>
    </w:p>
    <w:tbl>
      <w:tblPr>
        <w:tblStyle w:val="TableGrid"/>
        <w:tblW w:type="dxa" w:w="9360"/>
        <w:tblLayout w:type="fixed"/>
        <w:tblLook w:firstColumn="1" w:firstRow="1" w:lastColumn="0" w:lastRow="0" w:noHBand="0" w:noVBand="1" w:val="04A0"/>
        <w:tblInd w:w="120" w:type="dxa"/>
      </w:tblPr>
      <w:tblGrid>
        <w:gridCol w:w="3900"/>
        <w:gridCol w:w="5460"/>
      </w:tblGrid>
      <w:tr>
        <w:trPr>
          <w:tblHeader w:val="true"/>
        </w:trPr>
        <w:tc>
          <w:tcPr>
            <w:tcW w:type="dxa" w:w="3900"/>
            <w:tcMar>
              <w:top w:w="80" w:type="dxa"/>
              <w:start w:w="120" w:type="dxa"/>
              <w:bottom w:w="80" w:type="dxa"/>
              <w:end w:w="120" w:type="dxa"/>
            </w:tcMar>
            <w:vAlign w:val="center"/>
            <w:shd w:fill="F2F4F7"/>
          </w:tcPr>
          <w:p>
            <w:r>
              <w:rPr>
                <w:rFonts w:ascii="Calibri" w:hAnsi="Calibri"/>
                <w:b/>
                <w:color w:val="203748"/>
                <w:sz w:val="20"/>
              </w:rPr>
              <w:t>Final BGE token count</w:t>
            </w:r>
          </w:p>
        </w:tc>
        <w:tc>
          <w:tcPr>
            <w:tcW w:type="dxa" w:w="5460"/>
            <w:tcMar>
              <w:top w:w="80" w:type="dxa"/>
              <w:start w:w="120" w:type="dxa"/>
              <w:bottom w:w="80" w:type="dxa"/>
              <w:end w:w="120" w:type="dxa"/>
            </w:tcMar>
            <w:vAlign w:val="center"/>
            <w:shd w:fill="F2F4F7"/>
          </w:tcPr>
          <w:p>
            <w:r>
              <w:rPr>
                <w:rFonts w:ascii="Calibri" w:hAnsi="Calibri"/>
                <w:b/>
                <w:color w:val="203748"/>
                <w:sz w:val="20"/>
              </w:rPr>
              <w:t>Chunks</w:t>
            </w:r>
          </w:p>
        </w:tc>
      </w:tr>
      <w:tr>
        <w:tc>
          <w:tcPr>
            <w:tcW w:type="dxa" w:w="3900"/>
            <w:tcMar>
              <w:top w:w="80" w:type="dxa"/>
              <w:start w:w="120" w:type="dxa"/>
              <w:bottom w:w="80" w:type="dxa"/>
              <w:end w:w="120" w:type="dxa"/>
            </w:tcMar>
            <w:vAlign w:val="center"/>
          </w:tcPr>
          <w:p>
            <w:r>
              <w:rPr>
                <w:rFonts w:ascii="Calibri" w:hAnsi="Calibri"/>
                <w:b/>
                <w:color w:val="1F4D78"/>
                <w:sz w:val="19"/>
              </w:rPr>
              <w:t>51–100 tokens</w:t>
            </w:r>
          </w:p>
        </w:tc>
        <w:tc>
          <w:tcPr>
            <w:tcW w:type="dxa" w:w="5460"/>
            <w:tcMar>
              <w:top w:w="80" w:type="dxa"/>
              <w:start w:w="120" w:type="dxa"/>
              <w:bottom w:w="80" w:type="dxa"/>
              <w:end w:w="120" w:type="dxa"/>
            </w:tcMar>
            <w:vAlign w:val="center"/>
          </w:tcPr>
          <w:p>
            <w:r>
              <w:rPr>
                <w:rFonts w:ascii="Calibri" w:hAnsi="Calibri"/>
                <w:b w:val="0"/>
                <w:color w:val="202124"/>
                <w:sz w:val="19"/>
              </w:rPr>
              <w:t>433 chunks</w:t>
            </w:r>
          </w:p>
        </w:tc>
      </w:tr>
      <w:tr>
        <w:tc>
          <w:tcPr>
            <w:tcW w:type="dxa" w:w="3900"/>
            <w:tcMar>
              <w:top w:w="80" w:type="dxa"/>
              <w:start w:w="120" w:type="dxa"/>
              <w:bottom w:w="80" w:type="dxa"/>
              <w:end w:w="120" w:type="dxa"/>
            </w:tcMar>
            <w:vAlign w:val="center"/>
          </w:tcPr>
          <w:p>
            <w:r>
              <w:rPr>
                <w:rFonts w:ascii="Calibri" w:hAnsi="Calibri"/>
                <w:b/>
                <w:color w:val="1F4D78"/>
                <w:sz w:val="19"/>
              </w:rPr>
              <w:t>101–250 tokens</w:t>
            </w:r>
          </w:p>
        </w:tc>
        <w:tc>
          <w:tcPr>
            <w:tcW w:type="dxa" w:w="5460"/>
            <w:tcMar>
              <w:top w:w="80" w:type="dxa"/>
              <w:start w:w="120" w:type="dxa"/>
              <w:bottom w:w="80" w:type="dxa"/>
              <w:end w:w="120" w:type="dxa"/>
            </w:tcMar>
            <w:vAlign w:val="center"/>
          </w:tcPr>
          <w:p>
            <w:r>
              <w:rPr>
                <w:rFonts w:ascii="Calibri" w:hAnsi="Calibri"/>
                <w:b w:val="0"/>
                <w:color w:val="202124"/>
                <w:sz w:val="19"/>
              </w:rPr>
              <w:t>4,676 chunks</w:t>
            </w:r>
          </w:p>
        </w:tc>
      </w:tr>
      <w:tr>
        <w:tc>
          <w:tcPr>
            <w:tcW w:type="dxa" w:w="3900"/>
            <w:tcMar>
              <w:top w:w="80" w:type="dxa"/>
              <w:start w:w="120" w:type="dxa"/>
              <w:bottom w:w="80" w:type="dxa"/>
              <w:end w:w="120" w:type="dxa"/>
            </w:tcMar>
            <w:vAlign w:val="center"/>
          </w:tcPr>
          <w:p>
            <w:r>
              <w:rPr>
                <w:rFonts w:ascii="Calibri" w:hAnsi="Calibri"/>
                <w:b/>
                <w:color w:val="1F4D78"/>
                <w:sz w:val="19"/>
              </w:rPr>
              <w:t>251–400 tokens</w:t>
            </w:r>
          </w:p>
        </w:tc>
        <w:tc>
          <w:tcPr>
            <w:tcW w:type="dxa" w:w="5460"/>
            <w:tcMar>
              <w:top w:w="80" w:type="dxa"/>
              <w:start w:w="120" w:type="dxa"/>
              <w:bottom w:w="80" w:type="dxa"/>
              <w:end w:w="120" w:type="dxa"/>
            </w:tcMar>
            <w:vAlign w:val="center"/>
          </w:tcPr>
          <w:p>
            <w:r>
              <w:rPr>
                <w:rFonts w:ascii="Calibri" w:hAnsi="Calibri"/>
                <w:b w:val="0"/>
                <w:color w:val="202124"/>
                <w:sz w:val="19"/>
              </w:rPr>
              <w:t>3,516 chunks</w:t>
            </w:r>
          </w:p>
        </w:tc>
      </w:tr>
      <w:tr>
        <w:tc>
          <w:tcPr>
            <w:tcW w:type="dxa" w:w="3900"/>
            <w:tcMar>
              <w:top w:w="80" w:type="dxa"/>
              <w:start w:w="120" w:type="dxa"/>
              <w:bottom w:w="80" w:type="dxa"/>
              <w:end w:w="120" w:type="dxa"/>
            </w:tcMar>
            <w:vAlign w:val="center"/>
          </w:tcPr>
          <w:p>
            <w:r>
              <w:rPr>
                <w:rFonts w:ascii="Calibri" w:hAnsi="Calibri"/>
                <w:b/>
                <w:color w:val="1F4D78"/>
                <w:sz w:val="19"/>
              </w:rPr>
              <w:t>401–500 tokens</w:t>
            </w:r>
          </w:p>
        </w:tc>
        <w:tc>
          <w:tcPr>
            <w:tcW w:type="dxa" w:w="5460"/>
            <w:tcMar>
              <w:top w:w="80" w:type="dxa"/>
              <w:start w:w="120" w:type="dxa"/>
              <w:bottom w:w="80" w:type="dxa"/>
              <w:end w:w="120" w:type="dxa"/>
            </w:tcMar>
            <w:vAlign w:val="center"/>
          </w:tcPr>
          <w:p>
            <w:r>
              <w:rPr>
                <w:rFonts w:ascii="Calibri" w:hAnsi="Calibri"/>
                <w:b w:val="0"/>
                <w:color w:val="202124"/>
                <w:sz w:val="19"/>
              </w:rPr>
              <w:t>8,704 chunks</w:t>
            </w:r>
          </w:p>
        </w:tc>
      </w:tr>
    </w:tbl>
    <w:p>
      <w:pPr>
        <w:pStyle w:val="Heading2"/>
      </w:pPr>
      <w:r>
        <w:t>Structure and page span</w:t>
      </w:r>
    </w:p>
    <w:tbl>
      <w:tblPr>
        <w:tblStyle w:val="TableGrid"/>
        <w:tblW w:type="dxa" w:w="9360"/>
        <w:tblLayout w:type="fixed"/>
        <w:tblLook w:firstColumn="1" w:firstRow="1" w:lastColumn="0" w:lastRow="0" w:noHBand="0" w:noVBand="1" w:val="04A0"/>
        <w:tblInd w:w="120" w:type="dxa"/>
      </w:tblPr>
      <w:tblGrid>
        <w:gridCol w:w="3900"/>
        <w:gridCol w:w="5460"/>
      </w:tblGrid>
      <w:tr>
        <w:trPr>
          <w:tblHeader w:val="true"/>
        </w:trPr>
        <w:tc>
          <w:tcPr>
            <w:tcW w:type="dxa" w:w="3900"/>
            <w:tcMar>
              <w:top w:w="80" w:type="dxa"/>
              <w:start w:w="120" w:type="dxa"/>
              <w:bottom w:w="80" w:type="dxa"/>
              <w:end w:w="120" w:type="dxa"/>
            </w:tcMar>
            <w:vAlign w:val="center"/>
            <w:shd w:fill="F2F4F7"/>
          </w:tcPr>
          <w:p>
            <w:r>
              <w:rPr>
                <w:rFonts w:ascii="Calibri" w:hAnsi="Calibri"/>
                <w:b/>
                <w:color w:val="203748"/>
                <w:sz w:val="20"/>
              </w:rPr>
              <w:t>Measure</w:t>
            </w:r>
          </w:p>
        </w:tc>
        <w:tc>
          <w:tcPr>
            <w:tcW w:type="dxa" w:w="5460"/>
            <w:tcMar>
              <w:top w:w="80" w:type="dxa"/>
              <w:start w:w="120" w:type="dxa"/>
              <w:bottom w:w="80" w:type="dxa"/>
              <w:end w:w="120" w:type="dxa"/>
            </w:tcMar>
            <w:vAlign w:val="center"/>
            <w:shd w:fill="F2F4F7"/>
          </w:tcPr>
          <w:p>
            <w:r>
              <w:rPr>
                <w:rFonts w:ascii="Calibri" w:hAnsi="Calibri"/>
                <w:b/>
                <w:color w:val="203748"/>
                <w:sz w:val="20"/>
              </w:rPr>
              <w:t>Value</w:t>
            </w:r>
          </w:p>
        </w:tc>
      </w:tr>
      <w:tr>
        <w:tc>
          <w:tcPr>
            <w:tcW w:type="dxa" w:w="3900"/>
            <w:tcMar>
              <w:top w:w="80" w:type="dxa"/>
              <w:start w:w="120" w:type="dxa"/>
              <w:bottom w:w="80" w:type="dxa"/>
              <w:end w:w="120" w:type="dxa"/>
            </w:tcMar>
            <w:vAlign w:val="center"/>
          </w:tcPr>
          <w:p>
            <w:r>
              <w:rPr>
                <w:rFonts w:ascii="Calibri" w:hAnsi="Calibri"/>
                <w:b/>
                <w:color w:val="1F4D78"/>
                <w:sz w:val="19"/>
              </w:rPr>
              <w:t>Reports / companies</w:t>
            </w:r>
          </w:p>
        </w:tc>
        <w:tc>
          <w:tcPr>
            <w:tcW w:type="dxa" w:w="5460"/>
            <w:tcMar>
              <w:top w:w="80" w:type="dxa"/>
              <w:start w:w="120" w:type="dxa"/>
              <w:bottom w:w="80" w:type="dxa"/>
              <w:end w:w="120" w:type="dxa"/>
            </w:tcMar>
            <w:vAlign w:val="center"/>
          </w:tcPr>
          <w:p>
            <w:r>
              <w:rPr>
                <w:rFonts w:ascii="Calibri" w:hAnsi="Calibri"/>
                <w:b w:val="0"/>
                <w:color w:val="202124"/>
                <w:sz w:val="19"/>
              </w:rPr>
              <w:t>202 reports / 110 companies</w:t>
            </w:r>
          </w:p>
        </w:tc>
      </w:tr>
      <w:tr>
        <w:tc>
          <w:tcPr>
            <w:tcW w:type="dxa" w:w="3900"/>
            <w:tcMar>
              <w:top w:w="80" w:type="dxa"/>
              <w:start w:w="120" w:type="dxa"/>
              <w:bottom w:w="80" w:type="dxa"/>
              <w:end w:w="120" w:type="dxa"/>
            </w:tcMar>
            <w:vAlign w:val="center"/>
          </w:tcPr>
          <w:p>
            <w:r>
              <w:rPr>
                <w:rFonts w:ascii="Calibri" w:hAnsi="Calibri"/>
                <w:b/>
                <w:color w:val="1F4D78"/>
                <w:sz w:val="19"/>
              </w:rPr>
              <w:t>Sections</w:t>
            </w:r>
          </w:p>
        </w:tc>
        <w:tc>
          <w:tcPr>
            <w:tcW w:type="dxa" w:w="5460"/>
            <w:tcMar>
              <w:top w:w="80" w:type="dxa"/>
              <w:start w:w="120" w:type="dxa"/>
              <w:bottom w:w="80" w:type="dxa"/>
              <w:end w:w="120" w:type="dxa"/>
            </w:tcMar>
            <w:vAlign w:val="center"/>
          </w:tcPr>
          <w:p>
            <w:r>
              <w:rPr>
                <w:rFonts w:ascii="Calibri" w:hAnsi="Calibri"/>
                <w:b w:val="0"/>
                <w:color w:val="202124"/>
                <w:sz w:val="19"/>
              </w:rPr>
              <w:t>9,819</w:t>
            </w:r>
          </w:p>
        </w:tc>
      </w:tr>
      <w:tr>
        <w:tc>
          <w:tcPr>
            <w:tcW w:type="dxa" w:w="3900"/>
            <w:tcMar>
              <w:top w:w="80" w:type="dxa"/>
              <w:start w:w="120" w:type="dxa"/>
              <w:bottom w:w="80" w:type="dxa"/>
              <w:end w:w="120" w:type="dxa"/>
            </w:tcMar>
            <w:vAlign w:val="center"/>
          </w:tcPr>
          <w:p>
            <w:r>
              <w:rPr>
                <w:rFonts w:ascii="Calibri" w:hAnsi="Calibri"/>
                <w:b/>
                <w:color w:val="1F4D78"/>
                <w:sz w:val="19"/>
              </w:rPr>
              <w:t>Chunks per report</w:t>
            </w:r>
          </w:p>
        </w:tc>
        <w:tc>
          <w:tcPr>
            <w:tcW w:type="dxa" w:w="5460"/>
            <w:tcMar>
              <w:top w:w="80" w:type="dxa"/>
              <w:start w:w="120" w:type="dxa"/>
              <w:bottom w:w="80" w:type="dxa"/>
              <w:end w:w="120" w:type="dxa"/>
            </w:tcMar>
            <w:vAlign w:val="center"/>
          </w:tcPr>
          <w:p>
            <w:r>
              <w:rPr>
                <w:rFonts w:ascii="Calibri" w:hAnsi="Calibri"/>
                <w:b w:val="0"/>
                <w:color w:val="202124"/>
                <w:sz w:val="19"/>
              </w:rPr>
              <w:t>Median 72; P90 155; max 358</w:t>
            </w:r>
          </w:p>
        </w:tc>
      </w:tr>
      <w:tr>
        <w:tc>
          <w:tcPr>
            <w:tcW w:type="dxa" w:w="3900"/>
            <w:tcMar>
              <w:top w:w="80" w:type="dxa"/>
              <w:start w:w="120" w:type="dxa"/>
              <w:bottom w:w="80" w:type="dxa"/>
              <w:end w:w="120" w:type="dxa"/>
            </w:tcMar>
            <w:vAlign w:val="center"/>
          </w:tcPr>
          <w:p>
            <w:r>
              <w:rPr>
                <w:rFonts w:ascii="Calibri" w:hAnsi="Calibri"/>
                <w:b/>
                <w:color w:val="1F4D78"/>
                <w:sz w:val="19"/>
              </w:rPr>
              <w:t>Sections with one chunk</w:t>
            </w:r>
          </w:p>
        </w:tc>
        <w:tc>
          <w:tcPr>
            <w:tcW w:type="dxa" w:w="5460"/>
            <w:tcMar>
              <w:top w:w="80" w:type="dxa"/>
              <w:start w:w="120" w:type="dxa"/>
              <w:bottom w:w="80" w:type="dxa"/>
              <w:end w:w="120" w:type="dxa"/>
            </w:tcMar>
            <w:vAlign w:val="center"/>
          </w:tcPr>
          <w:p>
            <w:r>
              <w:rPr>
                <w:rFonts w:ascii="Calibri" w:hAnsi="Calibri"/>
                <w:b w:val="0"/>
                <w:color w:val="202124"/>
                <w:sz w:val="19"/>
              </w:rPr>
              <w:t>6,175</w:t>
            </w:r>
          </w:p>
        </w:tc>
      </w:tr>
      <w:tr>
        <w:tc>
          <w:tcPr>
            <w:tcW w:type="dxa" w:w="3900"/>
            <w:tcMar>
              <w:top w:w="80" w:type="dxa"/>
              <w:start w:w="120" w:type="dxa"/>
              <w:bottom w:w="80" w:type="dxa"/>
              <w:end w:w="120" w:type="dxa"/>
            </w:tcMar>
            <w:vAlign w:val="center"/>
          </w:tcPr>
          <w:p>
            <w:r>
              <w:rPr>
                <w:rFonts w:ascii="Calibri" w:hAnsi="Calibri"/>
                <w:b/>
                <w:color w:val="1F4D78"/>
                <w:sz w:val="19"/>
              </w:rPr>
              <w:t>Sections with more than one chunk</w:t>
            </w:r>
          </w:p>
        </w:tc>
        <w:tc>
          <w:tcPr>
            <w:tcW w:type="dxa" w:w="5460"/>
            <w:tcMar>
              <w:top w:w="80" w:type="dxa"/>
              <w:start w:w="120" w:type="dxa"/>
              <w:bottom w:w="80" w:type="dxa"/>
              <w:end w:w="120" w:type="dxa"/>
            </w:tcMar>
            <w:vAlign w:val="center"/>
          </w:tcPr>
          <w:p>
            <w:r>
              <w:rPr>
                <w:rFonts w:ascii="Calibri" w:hAnsi="Calibri"/>
                <w:b w:val="0"/>
                <w:color w:val="202124"/>
                <w:sz w:val="19"/>
              </w:rPr>
              <w:t>3,644</w:t>
            </w:r>
          </w:p>
        </w:tc>
      </w:tr>
      <w:tr>
        <w:tc>
          <w:tcPr>
            <w:tcW w:type="dxa" w:w="3900"/>
            <w:tcMar>
              <w:top w:w="80" w:type="dxa"/>
              <w:start w:w="120" w:type="dxa"/>
              <w:bottom w:w="80" w:type="dxa"/>
              <w:end w:w="120" w:type="dxa"/>
            </w:tcMar>
            <w:vAlign w:val="center"/>
          </w:tcPr>
          <w:p>
            <w:r>
              <w:rPr>
                <w:rFonts w:ascii="Calibri" w:hAnsi="Calibri"/>
                <w:b/>
                <w:color w:val="1F4D78"/>
                <w:sz w:val="19"/>
              </w:rPr>
              <w:t>Page spans</w:t>
            </w:r>
          </w:p>
        </w:tc>
        <w:tc>
          <w:tcPr>
            <w:tcW w:type="dxa" w:w="5460"/>
            <w:tcMar>
              <w:top w:w="80" w:type="dxa"/>
              <w:start w:w="120" w:type="dxa"/>
              <w:bottom w:w="80" w:type="dxa"/>
              <w:end w:w="120" w:type="dxa"/>
            </w:tcMar>
            <w:vAlign w:val="center"/>
          </w:tcPr>
          <w:p>
            <w:r>
              <w:rPr>
                <w:rFonts w:ascii="Calibri" w:hAnsi="Calibri"/>
                <w:b w:val="0"/>
                <w:color w:val="202124"/>
                <w:sz w:val="19"/>
              </w:rPr>
              <w:t>8,005 one-page; 8,046 two-page; 1,278 three-or-more-page</w:t>
            </w:r>
          </w:p>
        </w:tc>
      </w:tr>
      <w:tr>
        <w:tc>
          <w:tcPr>
            <w:tcW w:type="dxa" w:w="3900"/>
            <w:tcMar>
              <w:top w:w="80" w:type="dxa"/>
              <w:start w:w="120" w:type="dxa"/>
              <w:bottom w:w="80" w:type="dxa"/>
              <w:end w:w="120" w:type="dxa"/>
            </w:tcMar>
            <w:vAlign w:val="center"/>
          </w:tcPr>
          <w:p>
            <w:r>
              <w:rPr>
                <w:rFonts w:ascii="Calibri" w:hAnsi="Calibri"/>
                <w:b/>
                <w:color w:val="1F4D78"/>
                <w:sz w:val="19"/>
              </w:rPr>
              <w:t>Adjacent chunk pairs with source overlap</w:t>
            </w:r>
          </w:p>
        </w:tc>
        <w:tc>
          <w:tcPr>
            <w:tcW w:type="dxa" w:w="5460"/>
            <w:tcMar>
              <w:top w:w="80" w:type="dxa"/>
              <w:start w:w="120" w:type="dxa"/>
              <w:bottom w:w="80" w:type="dxa"/>
              <w:end w:w="120" w:type="dxa"/>
            </w:tcMar>
            <w:vAlign w:val="center"/>
          </w:tcPr>
          <w:p>
            <w:r>
              <w:rPr>
                <w:rFonts w:ascii="Calibri" w:hAnsi="Calibri"/>
                <w:b w:val="0"/>
                <w:color w:val="202124"/>
                <w:sz w:val="19"/>
              </w:rPr>
              <w:t>6,052 of 7,510 pairs</w:t>
            </w:r>
          </w:p>
        </w:tc>
      </w:tr>
      <w:tr>
        <w:tc>
          <w:tcPr>
            <w:tcW w:type="dxa" w:w="3900"/>
            <w:tcMar>
              <w:top w:w="80" w:type="dxa"/>
              <w:start w:w="120" w:type="dxa"/>
              <w:bottom w:w="80" w:type="dxa"/>
              <w:end w:w="120" w:type="dxa"/>
            </w:tcMar>
            <w:vAlign w:val="center"/>
          </w:tcPr>
          <w:p>
            <w:r>
              <w:rPr>
                <w:rFonts w:ascii="Calibri" w:hAnsi="Calibri"/>
                <w:b/>
                <w:color w:val="1F4D78"/>
                <w:sz w:val="19"/>
              </w:rPr>
              <w:t>Median chunk characters</w:t>
            </w:r>
          </w:p>
        </w:tc>
        <w:tc>
          <w:tcPr>
            <w:tcW w:type="dxa" w:w="5460"/>
            <w:tcMar>
              <w:top w:w="80" w:type="dxa"/>
              <w:start w:w="120" w:type="dxa"/>
              <w:bottom w:w="80" w:type="dxa"/>
              <w:end w:w="120" w:type="dxa"/>
            </w:tcMar>
            <w:vAlign w:val="center"/>
          </w:tcPr>
          <w:p>
            <w:r>
              <w:rPr>
                <w:rFonts w:ascii="Calibri" w:hAnsi="Calibri"/>
                <w:b w:val="0"/>
                <w:color w:val="202124"/>
                <w:sz w:val="19"/>
              </w:rPr>
              <w:t>1,676; P90 2,431; max 2,901</w:t>
            </w:r>
          </w:p>
        </w:tc>
      </w:tr>
    </w:tbl>
    <w:p>
      <w:pPr>
        <w:pStyle w:val="Heading2"/>
      </w:pPr>
      <w:r>
        <w:t>Chunk type and review tier</w:t>
      </w:r>
    </w:p>
    <w:tbl>
      <w:tblPr>
        <w:tblStyle w:val="TableGrid"/>
        <w:tblW w:type="dxa" w:w="9360"/>
        <w:tblLayout w:type="fixed"/>
        <w:tblLook w:firstColumn="1" w:firstRow="1" w:lastColumn="0" w:lastRow="0" w:noHBand="0" w:noVBand="1" w:val="04A0"/>
        <w:tblInd w:w="120" w:type="dxa"/>
      </w:tblPr>
      <w:tblGrid>
        <w:gridCol w:w="3900"/>
        <w:gridCol w:w="5460"/>
      </w:tblGrid>
      <w:tr>
        <w:trPr>
          <w:tblHeader w:val="true"/>
        </w:trPr>
        <w:tc>
          <w:tcPr>
            <w:tcW w:type="dxa" w:w="3900"/>
            <w:tcMar>
              <w:top w:w="80" w:type="dxa"/>
              <w:start w:w="120" w:type="dxa"/>
              <w:bottom w:w="80" w:type="dxa"/>
              <w:end w:w="120" w:type="dxa"/>
            </w:tcMar>
            <w:vAlign w:val="center"/>
            <w:shd w:fill="F2F4F7"/>
          </w:tcPr>
          <w:p>
            <w:r>
              <w:rPr>
                <w:rFonts w:ascii="Calibri" w:hAnsi="Calibri"/>
                <w:b/>
                <w:color w:val="203748"/>
                <w:sz w:val="20"/>
              </w:rPr>
              <w:t>Measure</w:t>
            </w:r>
          </w:p>
        </w:tc>
        <w:tc>
          <w:tcPr>
            <w:tcW w:type="dxa" w:w="5460"/>
            <w:tcMar>
              <w:top w:w="80" w:type="dxa"/>
              <w:start w:w="120" w:type="dxa"/>
              <w:bottom w:w="80" w:type="dxa"/>
              <w:end w:w="120" w:type="dxa"/>
            </w:tcMar>
            <w:vAlign w:val="center"/>
            <w:shd w:fill="F2F4F7"/>
          </w:tcPr>
          <w:p>
            <w:r>
              <w:rPr>
                <w:rFonts w:ascii="Calibri" w:hAnsi="Calibri"/>
                <w:b/>
                <w:color w:val="203748"/>
                <w:sz w:val="20"/>
              </w:rPr>
              <w:t>Value</w:t>
            </w:r>
          </w:p>
        </w:tc>
      </w:tr>
      <w:tr>
        <w:tc>
          <w:tcPr>
            <w:tcW w:type="dxa" w:w="3900"/>
            <w:tcMar>
              <w:top w:w="80" w:type="dxa"/>
              <w:start w:w="120" w:type="dxa"/>
              <w:bottom w:w="80" w:type="dxa"/>
              <w:end w:w="120" w:type="dxa"/>
            </w:tcMar>
            <w:vAlign w:val="center"/>
          </w:tcPr>
          <w:p>
            <w:r>
              <w:rPr>
                <w:rFonts w:ascii="Calibri" w:hAnsi="Calibri"/>
                <w:b/>
                <w:color w:val="1F4D78"/>
                <w:sz w:val="19"/>
              </w:rPr>
              <w:t>Normal chunks</w:t>
            </w:r>
          </w:p>
        </w:tc>
        <w:tc>
          <w:tcPr>
            <w:tcW w:type="dxa" w:w="5460"/>
            <w:tcMar>
              <w:top w:w="80" w:type="dxa"/>
              <w:start w:w="120" w:type="dxa"/>
              <w:bottom w:w="80" w:type="dxa"/>
              <w:end w:w="120" w:type="dxa"/>
            </w:tcMar>
            <w:vAlign w:val="center"/>
          </w:tcPr>
          <w:p>
            <w:r>
              <w:rPr>
                <w:rFonts w:ascii="Calibri" w:hAnsi="Calibri"/>
                <w:b w:val="0"/>
                <w:color w:val="202124"/>
                <w:sz w:val="19"/>
              </w:rPr>
              <w:t>16,926</w:t>
            </w:r>
          </w:p>
        </w:tc>
      </w:tr>
      <w:tr>
        <w:tc>
          <w:tcPr>
            <w:tcW w:type="dxa" w:w="3900"/>
            <w:tcMar>
              <w:top w:w="80" w:type="dxa"/>
              <w:start w:w="120" w:type="dxa"/>
              <w:bottom w:w="80" w:type="dxa"/>
              <w:end w:w="120" w:type="dxa"/>
            </w:tcMar>
            <w:vAlign w:val="center"/>
          </w:tcPr>
          <w:p>
            <w:r>
              <w:rPr>
                <w:rFonts w:ascii="Calibri" w:hAnsi="Calibri"/>
                <w:b/>
                <w:color w:val="1F4D78"/>
                <w:sz w:val="19"/>
              </w:rPr>
              <w:t>Short evidence chunks</w:t>
            </w:r>
          </w:p>
        </w:tc>
        <w:tc>
          <w:tcPr>
            <w:tcW w:type="dxa" w:w="5460"/>
            <w:tcMar>
              <w:top w:w="80" w:type="dxa"/>
              <w:start w:w="120" w:type="dxa"/>
              <w:bottom w:w="80" w:type="dxa"/>
              <w:end w:w="120" w:type="dxa"/>
            </w:tcMar>
            <w:vAlign w:val="center"/>
          </w:tcPr>
          <w:p>
            <w:r>
              <w:rPr>
                <w:rFonts w:ascii="Calibri" w:hAnsi="Calibri"/>
                <w:b w:val="0"/>
                <w:color w:val="202124"/>
                <w:sz w:val="19"/>
              </w:rPr>
              <w:t>403</w:t>
            </w:r>
          </w:p>
        </w:tc>
      </w:tr>
      <w:tr>
        <w:tc>
          <w:tcPr>
            <w:tcW w:type="dxa" w:w="3900"/>
            <w:tcMar>
              <w:top w:w="80" w:type="dxa"/>
              <w:start w:w="120" w:type="dxa"/>
              <w:bottom w:w="80" w:type="dxa"/>
              <w:end w:w="120" w:type="dxa"/>
            </w:tcMar>
            <w:vAlign w:val="center"/>
          </w:tcPr>
          <w:p>
            <w:r>
              <w:rPr>
                <w:rFonts w:ascii="Calibri" w:hAnsi="Calibri"/>
                <w:b/>
                <w:color w:val="1F4D78"/>
                <w:sz w:val="19"/>
              </w:rPr>
              <w:t>Narrative</w:t>
            </w:r>
          </w:p>
        </w:tc>
        <w:tc>
          <w:tcPr>
            <w:tcW w:type="dxa" w:w="5460"/>
            <w:tcMar>
              <w:top w:w="80" w:type="dxa"/>
              <w:start w:w="120" w:type="dxa"/>
              <w:bottom w:w="80" w:type="dxa"/>
              <w:end w:w="120" w:type="dxa"/>
            </w:tcMar>
            <w:vAlign w:val="center"/>
          </w:tcPr>
          <w:p>
            <w:r>
              <w:rPr>
                <w:rFonts w:ascii="Calibri" w:hAnsi="Calibri"/>
                <w:b w:val="0"/>
                <w:color w:val="202124"/>
                <w:sz w:val="19"/>
              </w:rPr>
              <w:t>13,394</w:t>
            </w:r>
          </w:p>
        </w:tc>
      </w:tr>
      <w:tr>
        <w:tc>
          <w:tcPr>
            <w:tcW w:type="dxa" w:w="3900"/>
            <w:tcMar>
              <w:top w:w="80" w:type="dxa"/>
              <w:start w:w="120" w:type="dxa"/>
              <w:bottom w:w="80" w:type="dxa"/>
              <w:end w:w="120" w:type="dxa"/>
            </w:tcMar>
            <w:vAlign w:val="center"/>
          </w:tcPr>
          <w:p>
            <w:r>
              <w:rPr>
                <w:rFonts w:ascii="Calibri" w:hAnsi="Calibri"/>
                <w:b/>
                <w:color w:val="1F4D78"/>
                <w:sz w:val="19"/>
              </w:rPr>
              <w:t>Layout-sensitive</w:t>
            </w:r>
          </w:p>
        </w:tc>
        <w:tc>
          <w:tcPr>
            <w:tcW w:type="dxa" w:w="5460"/>
            <w:tcMar>
              <w:top w:w="80" w:type="dxa"/>
              <w:start w:w="120" w:type="dxa"/>
              <w:bottom w:w="80" w:type="dxa"/>
              <w:end w:w="120" w:type="dxa"/>
            </w:tcMar>
            <w:vAlign w:val="center"/>
          </w:tcPr>
          <w:p>
            <w:r>
              <w:rPr>
                <w:rFonts w:ascii="Calibri" w:hAnsi="Calibri"/>
                <w:b w:val="0"/>
                <w:color w:val="202124"/>
                <w:sz w:val="19"/>
              </w:rPr>
              <w:t>3,650</w:t>
            </w:r>
          </w:p>
        </w:tc>
      </w:tr>
      <w:tr>
        <w:tc>
          <w:tcPr>
            <w:tcW w:type="dxa" w:w="3900"/>
            <w:tcMar>
              <w:top w:w="80" w:type="dxa"/>
              <w:start w:w="120" w:type="dxa"/>
              <w:bottom w:w="80" w:type="dxa"/>
              <w:end w:w="120" w:type="dxa"/>
            </w:tcMar>
            <w:vAlign w:val="center"/>
          </w:tcPr>
          <w:p>
            <w:r>
              <w:rPr>
                <w:rFonts w:ascii="Calibri" w:hAnsi="Calibri"/>
                <w:b/>
                <w:color w:val="1F4D78"/>
                <w:sz w:val="19"/>
              </w:rPr>
              <w:t>Noise</w:t>
            </w:r>
          </w:p>
        </w:tc>
        <w:tc>
          <w:tcPr>
            <w:tcW w:type="dxa" w:w="5460"/>
            <w:tcMar>
              <w:top w:w="80" w:type="dxa"/>
              <w:start w:w="120" w:type="dxa"/>
              <w:bottom w:w="80" w:type="dxa"/>
              <w:end w:w="120" w:type="dxa"/>
            </w:tcMar>
            <w:vAlign w:val="center"/>
          </w:tcPr>
          <w:p>
            <w:r>
              <w:rPr>
                <w:rFonts w:ascii="Calibri" w:hAnsi="Calibri"/>
                <w:b w:val="0"/>
                <w:color w:val="202124"/>
                <w:sz w:val="19"/>
              </w:rPr>
              <w:t>285</w:t>
            </w:r>
          </w:p>
        </w:tc>
      </w:tr>
      <w:tr>
        <w:tc>
          <w:tcPr>
            <w:tcW w:type="dxa" w:w="3900"/>
            <w:tcMar>
              <w:top w:w="80" w:type="dxa"/>
              <w:start w:w="120" w:type="dxa"/>
              <w:bottom w:w="80" w:type="dxa"/>
              <w:end w:w="120" w:type="dxa"/>
            </w:tcMar>
            <w:vAlign w:val="center"/>
          </w:tcPr>
          <w:p>
            <w:r>
              <w:rPr>
                <w:rFonts w:ascii="Calibri" w:hAnsi="Calibri"/>
                <w:b/>
                <w:color w:val="1F4D78"/>
                <w:sz w:val="19"/>
              </w:rPr>
              <w:t>Exact citation status</w:t>
            </w:r>
          </w:p>
        </w:tc>
        <w:tc>
          <w:tcPr>
            <w:tcW w:type="dxa" w:w="5460"/>
            <w:tcMar>
              <w:top w:w="80" w:type="dxa"/>
              <w:start w:w="120" w:type="dxa"/>
              <w:bottom w:w="80" w:type="dxa"/>
              <w:end w:w="120" w:type="dxa"/>
            </w:tcMar>
            <w:vAlign w:val="center"/>
          </w:tcPr>
          <w:p>
            <w:r>
              <w:rPr>
                <w:rFonts w:ascii="Calibri" w:hAnsi="Calibri"/>
                <w:b w:val="0"/>
                <w:color w:val="202124"/>
                <w:sz w:val="19"/>
              </w:rPr>
              <w:t>17,329 verified exact</w:t>
            </w:r>
          </w:p>
        </w:tc>
      </w:tr>
    </w:tbl>
    <w:p>
      <w:pPr>
        <w:pStyle w:val="Heading1"/>
      </w:pPr>
      <w:r>
        <w:t>Handoff scope</w:t>
      </w:r>
    </w:p>
    <w:p>
      <w:r>
        <w:t>The handoff contains 2,000 unique chunks from 188 reports and 105 companies. It covers all 18 ESG topics. The sample includes 1,715 narrative chunks and 285 layout-sensitive chunks. Reporting years are 2023 (1,041 chunks), 2024 (944), and 2025 (15).</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r>
              <w:rPr>
                <w:rFonts w:ascii="Calibri" w:hAnsi="Calibri"/>
                <w:b/>
                <w:color w:val="203748"/>
                <w:sz w:val="20"/>
              </w:rPr>
              <w:t>Measure</w:t>
            </w:r>
          </w:p>
        </w:tc>
        <w:tc>
          <w:tcPr>
            <w:tcW w:type="dxa" w:w="6860"/>
            <w:tcMar>
              <w:top w:w="80" w:type="dxa"/>
              <w:start w:w="120" w:type="dxa"/>
              <w:bottom w:w="80" w:type="dxa"/>
              <w:end w:w="120" w:type="dxa"/>
            </w:tcMar>
            <w:vAlign w:val="center"/>
            <w:shd w:fill="F2F4F7"/>
          </w:tcPr>
          <w:p>
            <w:r>
              <w:rPr>
                <w:rFonts w:ascii="Calibri" w:hAnsi="Calibri"/>
                <w:b/>
                <w:color w:val="203748"/>
                <w:sz w:val="20"/>
              </w:rPr>
              <w:t>Value</w:t>
            </w:r>
          </w:p>
        </w:tc>
      </w:tr>
      <w:tr>
        <w:tc>
          <w:tcPr>
            <w:tcW w:type="dxa" w:w="2500"/>
            <w:tcMar>
              <w:top w:w="80" w:type="dxa"/>
              <w:start w:w="120" w:type="dxa"/>
              <w:bottom w:w="80" w:type="dxa"/>
              <w:end w:w="120" w:type="dxa"/>
            </w:tcMar>
            <w:vAlign w:val="center"/>
          </w:tcPr>
          <w:p>
            <w:r>
              <w:rPr>
                <w:rFonts w:ascii="Calibri" w:hAnsi="Calibri"/>
                <w:b/>
                <w:color w:val="1F4D78"/>
                <w:sz w:val="20"/>
              </w:rPr>
              <w:t>Token range</w:t>
            </w:r>
          </w:p>
        </w:tc>
        <w:tc>
          <w:tcPr>
            <w:tcW w:type="dxa" w:w="6860"/>
            <w:tcMar>
              <w:top w:w="80" w:type="dxa"/>
              <w:start w:w="120" w:type="dxa"/>
              <w:bottom w:w="80" w:type="dxa"/>
              <w:end w:w="120" w:type="dxa"/>
            </w:tcMar>
            <w:vAlign w:val="center"/>
          </w:tcPr>
          <w:p>
            <w:r>
              <w:rPr>
                <w:rFonts w:ascii="Calibri" w:hAnsi="Calibri"/>
                <w:b w:val="0"/>
                <w:color w:val="202124"/>
                <w:sz w:val="20"/>
              </w:rPr>
              <w:t>58–500 BGE tokens; median 350</w:t>
            </w:r>
          </w:p>
        </w:tc>
      </w:tr>
      <w:tr>
        <w:tc>
          <w:tcPr>
            <w:tcW w:type="dxa" w:w="2500"/>
            <w:tcMar>
              <w:top w:w="80" w:type="dxa"/>
              <w:start w:w="120" w:type="dxa"/>
              <w:bottom w:w="80" w:type="dxa"/>
              <w:end w:w="120" w:type="dxa"/>
            </w:tcMar>
            <w:vAlign w:val="center"/>
          </w:tcPr>
          <w:p>
            <w:r>
              <w:rPr>
                <w:rFonts w:ascii="Calibri" w:hAnsi="Calibri"/>
                <w:b/>
                <w:color w:val="1F4D78"/>
                <w:sz w:val="20"/>
              </w:rPr>
              <w:t>Token-size buckets</w:t>
            </w:r>
          </w:p>
        </w:tc>
        <w:tc>
          <w:tcPr>
            <w:tcW w:type="dxa" w:w="6860"/>
            <w:tcMar>
              <w:top w:w="80" w:type="dxa"/>
              <w:start w:w="120" w:type="dxa"/>
              <w:bottom w:w="80" w:type="dxa"/>
              <w:end w:w="120" w:type="dxa"/>
            </w:tcMar>
            <w:vAlign w:val="center"/>
          </w:tcPr>
          <w:p>
            <w:r>
              <w:rPr>
                <w:rFonts w:ascii="Calibri" w:hAnsi="Calibri"/>
                <w:b w:val="0"/>
                <w:color w:val="202124"/>
                <w:sz w:val="20"/>
              </w:rPr>
              <w:t>65 at 51–100; 647 at 101–250; 417 at 251–400; 871 at 401–500</w:t>
            </w:r>
          </w:p>
        </w:tc>
      </w:tr>
      <w:tr>
        <w:tc>
          <w:tcPr>
            <w:tcW w:type="dxa" w:w="2500"/>
            <w:tcMar>
              <w:top w:w="80" w:type="dxa"/>
              <w:start w:w="120" w:type="dxa"/>
              <w:bottom w:w="80" w:type="dxa"/>
              <w:end w:w="120" w:type="dxa"/>
            </w:tcMar>
            <w:vAlign w:val="center"/>
          </w:tcPr>
          <w:p>
            <w:r>
              <w:rPr>
                <w:rFonts w:ascii="Calibri" w:hAnsi="Calibri"/>
                <w:b/>
                <w:color w:val="1F4D78"/>
                <w:sz w:val="20"/>
              </w:rPr>
              <w:t>Page span</w:t>
            </w:r>
          </w:p>
        </w:tc>
        <w:tc>
          <w:tcPr>
            <w:tcW w:type="dxa" w:w="6860"/>
            <w:tcMar>
              <w:top w:w="80" w:type="dxa"/>
              <w:start w:w="120" w:type="dxa"/>
              <w:bottom w:w="80" w:type="dxa"/>
              <w:end w:w="120" w:type="dxa"/>
            </w:tcMar>
            <w:vAlign w:val="center"/>
          </w:tcPr>
          <w:p>
            <w:r>
              <w:rPr>
                <w:rFonts w:ascii="Calibri" w:hAnsi="Calibri"/>
                <w:b w:val="0"/>
                <w:color w:val="202124"/>
                <w:sz w:val="20"/>
              </w:rPr>
              <w:t>931 chunks span more than one page</w:t>
            </w:r>
          </w:p>
        </w:tc>
      </w:tr>
      <w:tr>
        <w:tc>
          <w:tcPr>
            <w:tcW w:type="dxa" w:w="2500"/>
            <w:tcMar>
              <w:top w:w="80" w:type="dxa"/>
              <w:start w:w="120" w:type="dxa"/>
              <w:bottom w:w="80" w:type="dxa"/>
              <w:end w:w="120" w:type="dxa"/>
            </w:tcMar>
            <w:vAlign w:val="center"/>
          </w:tcPr>
          <w:p>
            <w:r>
              <w:rPr>
                <w:rFonts w:ascii="Calibri" w:hAnsi="Calibri"/>
                <w:b/>
                <w:color w:val="1F4D78"/>
                <w:sz w:val="20"/>
              </w:rPr>
              <w:t>Report cap</w:t>
            </w:r>
          </w:p>
        </w:tc>
        <w:tc>
          <w:tcPr>
            <w:tcW w:type="dxa" w:w="6860"/>
            <w:tcMar>
              <w:top w:w="80" w:type="dxa"/>
              <w:start w:w="120" w:type="dxa"/>
              <w:bottom w:w="80" w:type="dxa"/>
              <w:end w:w="120" w:type="dxa"/>
            </w:tcMar>
            <w:vAlign w:val="center"/>
          </w:tcPr>
          <w:p>
            <w:r>
              <w:rPr>
                <w:rFonts w:ascii="Calibri" w:hAnsi="Calibri"/>
                <w:b w:val="0"/>
                <w:color w:val="202124"/>
                <w:sz w:val="20"/>
              </w:rPr>
              <w:t>No report contributes more than 15 chunks</w:t>
            </w:r>
          </w:p>
        </w:tc>
      </w:tr>
      <w:tr>
        <w:tc>
          <w:tcPr>
            <w:tcW w:type="dxa" w:w="2500"/>
            <w:tcMar>
              <w:top w:w="80" w:type="dxa"/>
              <w:start w:w="120" w:type="dxa"/>
              <w:bottom w:w="80" w:type="dxa"/>
              <w:end w:w="120" w:type="dxa"/>
            </w:tcMar>
            <w:vAlign w:val="center"/>
          </w:tcPr>
          <w:p>
            <w:r>
              <w:rPr>
                <w:rFonts w:ascii="Calibri" w:hAnsi="Calibri"/>
                <w:b/>
                <w:color w:val="1F4D78"/>
                <w:sz w:val="20"/>
              </w:rPr>
              <w:t>Exact citations</w:t>
            </w:r>
          </w:p>
        </w:tc>
        <w:tc>
          <w:tcPr>
            <w:tcW w:type="dxa" w:w="6860"/>
            <w:tcMar>
              <w:top w:w="80" w:type="dxa"/>
              <w:start w:w="120" w:type="dxa"/>
              <w:bottom w:w="80" w:type="dxa"/>
              <w:end w:w="120" w:type="dxa"/>
            </w:tcMar>
            <w:vAlign w:val="center"/>
          </w:tcPr>
          <w:p>
            <w:r>
              <w:rPr>
                <w:rFonts w:ascii="Calibri" w:hAnsi="Calibri"/>
                <w:b w:val="0"/>
                <w:color w:val="202124"/>
                <w:sz w:val="20"/>
              </w:rPr>
              <w:t>2,000 of 2,000</w:t>
            </w:r>
          </w:p>
        </w:tc>
      </w:tr>
    </w:tbl>
    <w:p>
      <w:r>
        <w:br w:type="page"/>
      </w:r>
    </w:p>
    <w:p>
      <w:pPr>
        <w:pStyle w:val="Heading1"/>
      </w:pPr>
      <w:r>
        <w:t>Topic distribution</w:t>
      </w:r>
    </w:p>
    <w:p>
      <w:r>
        <w:t>The sample gives every ESG topic at least 30 chunks, then allocates the remaining rows in line with topic size. Human capital has the most rows, followed by supply-chain ethics and environmental content.</w:t>
      </w:r>
    </w:p>
    <w:p>
      <w:pPr>
        <w:spacing w:after="60"/>
        <w:jc w:val="center"/>
      </w:pPr>
      <w:r>
        <w:drawing>
          <wp:inline xmlns:a="http://schemas.openxmlformats.org/drawingml/2006/main" xmlns:pic="http://schemas.openxmlformats.org/drawingml/2006/picture">
            <wp:extent cx="5715000" cy="4495800"/>
            <wp:docPr id="1" name="Picture 1" descr="Horizontal bar chart showing the count of handoff chunks for each of 18 ESG topics; human capital is largest at 304 chunks."/>
            <wp:cNvGraphicFramePr>
              <a:graphicFrameLocks noChangeAspect="1"/>
            </wp:cNvGraphicFramePr>
            <a:graphic>
              <a:graphicData uri="http://schemas.openxmlformats.org/drawingml/2006/picture">
                <pic:pic>
                  <pic:nvPicPr>
                    <pic:cNvPr id="0" name="topic_distribution.png"/>
                    <pic:cNvPicPr/>
                  </pic:nvPicPr>
                  <pic:blipFill>
                    <a:blip r:embed="rId11"/>
                    <a:stretch>
                      <a:fillRect/>
                    </a:stretch>
                  </pic:blipFill>
                  <pic:spPr>
                    <a:xfrm>
                      <a:off x="0" y="0"/>
                      <a:ext cx="5715000" cy="4495800"/>
                    </a:xfrm>
                    <a:prstGeom prst="rect"/>
                  </pic:spPr>
                </pic:pic>
              </a:graphicData>
            </a:graphic>
          </wp:inline>
        </w:drawing>
      </w:r>
    </w:p>
    <w:p>
      <w:pPr>
        <w:spacing w:before="80" w:after="160"/>
        <w:jc w:val="center"/>
      </w:pPr>
      <w:r>
        <w:rPr>
          <w:rFonts w:ascii="Calibri" w:hAnsi="Calibri"/>
          <w:i/>
          <w:color w:val="667085"/>
          <w:sz w:val="18"/>
        </w:rPr>
        <w:t>Figure 1. Chunks in the 2,000-row handoff by ESG topic.</w:t>
      </w:r>
    </w:p>
    <w:p>
      <w:r>
        <w:br w:type="page"/>
      </w:r>
    </w:p>
    <w:p>
      <w:pPr>
        <w:pStyle w:val="Heading1"/>
      </w:pPr>
      <w:r>
        <w:t>Topic allocation detail</w:t>
      </w:r>
    </w:p>
    <w:p>
      <w:r>
        <w:t>Exact counts for the handoff and the safe pool used during sampling.</w:t>
      </w:r>
    </w:p>
    <w:tbl>
      <w:tblPr>
        <w:tblStyle w:val="TableGrid"/>
        <w:tblW w:type="dxa" w:w="9360"/>
        <w:tblLayout w:type="fixed"/>
        <w:tblLook w:firstColumn="1" w:firstRow="1" w:lastColumn="0" w:lastRow="0" w:noHBand="0" w:noVBand="1" w:val="04A0"/>
        <w:tblInd w:w="120" w:type="dxa"/>
      </w:tblPr>
      <w:tblGrid>
        <w:gridCol w:w="5100"/>
        <w:gridCol w:w="2130"/>
        <w:gridCol w:w="2130"/>
      </w:tblGrid>
      <w:tr>
        <w:trPr>
          <w:tblHeader w:val="true"/>
        </w:trPr>
        <w:tc>
          <w:tcPr>
            <w:tcW w:type="dxa" w:w="5100"/>
            <w:tcMar>
              <w:top w:w="80" w:type="dxa"/>
              <w:start w:w="120" w:type="dxa"/>
              <w:bottom w:w="80" w:type="dxa"/>
              <w:end w:w="120" w:type="dxa"/>
            </w:tcMar>
            <w:vAlign w:val="center"/>
            <w:shd w:fill="F2F4F7"/>
          </w:tcPr>
          <w:p>
            <w:pPr>
              <w:jc w:val="left"/>
            </w:pPr>
            <w:r>
              <w:rPr>
                <w:rFonts w:ascii="Calibri" w:hAnsi="Calibri"/>
                <w:b/>
                <w:color w:val="203748"/>
                <w:sz w:val="19"/>
              </w:rPr>
              <w:t>ESG topic</w:t>
            </w:r>
          </w:p>
        </w:tc>
        <w:tc>
          <w:tcPr>
            <w:tcW w:type="dxa" w:w="2130"/>
            <w:tcMar>
              <w:top w:w="80" w:type="dxa"/>
              <w:start w:w="120" w:type="dxa"/>
              <w:bottom w:w="80" w:type="dxa"/>
              <w:end w:w="120" w:type="dxa"/>
            </w:tcMar>
            <w:vAlign w:val="center"/>
            <w:shd w:fill="F2F4F7"/>
          </w:tcPr>
          <w:p>
            <w:pPr>
              <w:jc w:val="center"/>
            </w:pPr>
            <w:r>
              <w:rPr>
                <w:rFonts w:ascii="Calibri" w:hAnsi="Calibri"/>
                <w:b/>
                <w:color w:val="203748"/>
                <w:sz w:val="19"/>
              </w:rPr>
              <w:t>Handoff</w:t>
            </w:r>
          </w:p>
        </w:tc>
        <w:tc>
          <w:tcPr>
            <w:tcW w:type="dxa" w:w="2130"/>
            <w:tcMar>
              <w:top w:w="80" w:type="dxa"/>
              <w:start w:w="120" w:type="dxa"/>
              <w:bottom w:w="80" w:type="dxa"/>
              <w:end w:w="120" w:type="dxa"/>
            </w:tcMar>
            <w:vAlign w:val="center"/>
            <w:shd w:fill="F2F4F7"/>
          </w:tcPr>
          <w:p>
            <w:pPr>
              <w:jc w:val="center"/>
            </w:pPr>
            <w:r>
              <w:rPr>
                <w:rFonts w:ascii="Calibri" w:hAnsi="Calibri"/>
                <w:b/>
                <w:color w:val="203748"/>
                <w:sz w:val="19"/>
              </w:rPr>
              <w:t>Safe pool</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Human Capital</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304</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1,666</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Supply Chain Ethics</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184</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951</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Environmental</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158</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792</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Governance</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146</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724</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Community</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145</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714</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Waste</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129</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621</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Ethics Compliance</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128</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613</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Diversity Equity Inclusion</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118</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555</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About This Report</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113</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528</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Emissions</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96</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427</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Energy</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90</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387</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Appendix</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83</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347</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Climate</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81</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336</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Water</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65</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238</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Data Summary</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58</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198</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Social</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40</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89</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Ceo Letter</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31</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38</w:t>
            </w:r>
          </w:p>
        </w:tc>
      </w:tr>
      <w:tr>
        <w:tc>
          <w:tcPr>
            <w:tcW w:type="dxa" w:w="5100"/>
            <w:tcMar>
              <w:top w:w="80" w:type="dxa"/>
              <w:start w:w="120" w:type="dxa"/>
              <w:bottom w:w="80" w:type="dxa"/>
              <w:end w:w="120" w:type="dxa"/>
            </w:tcMar>
            <w:vAlign w:val="center"/>
          </w:tcPr>
          <w:p>
            <w:pPr>
              <w:jc w:val="left"/>
            </w:pPr>
            <w:r>
              <w:rPr>
                <w:rFonts w:ascii="Calibri" w:hAnsi="Calibri"/>
                <w:b w:val="0"/>
                <w:color w:val="202124"/>
                <w:sz w:val="18"/>
              </w:rPr>
              <w:t>Other</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31</w:t>
            </w:r>
          </w:p>
        </w:tc>
        <w:tc>
          <w:tcPr>
            <w:tcW w:type="dxa" w:w="2130"/>
            <w:tcMar>
              <w:top w:w="80" w:type="dxa"/>
              <w:start w:w="120" w:type="dxa"/>
              <w:bottom w:w="80" w:type="dxa"/>
              <w:end w:w="120" w:type="dxa"/>
            </w:tcMar>
            <w:vAlign w:val="center"/>
          </w:tcPr>
          <w:p>
            <w:pPr>
              <w:jc w:val="center"/>
            </w:pPr>
            <w:r>
              <w:rPr>
                <w:rFonts w:ascii="Calibri" w:hAnsi="Calibri"/>
                <w:b w:val="0"/>
                <w:color w:val="202124"/>
                <w:sz w:val="18"/>
              </w:rPr>
              <w:t>35</w:t>
            </w:r>
          </w:p>
        </w:tc>
      </w:tr>
    </w:tbl>
    <w:p>
      <w:r>
        <w:br w:type="page"/>
      </w:r>
    </w:p>
    <w:p>
      <w:pPr>
        <w:pStyle w:val="Heading1"/>
      </w:pPr>
      <w:r>
        <w:t>Validation results</w:t>
      </w:r>
    </w:p>
    <w:p>
      <w:r>
        <w:t>All five row-level checks passed for every selected chunk. The checks compare the package with current chunk files, parsed source spans, embedding context, and manifest state. There are no duplicate chunk IDs and no reported validation errors.</w:t>
      </w:r>
    </w:p>
    <w:tbl>
      <w:tblPr>
        <w:tblStyle w:val="TableGrid"/>
        <w:tblW w:type="dxa" w:w="9360"/>
        <w:tblLayout w:type="fixed"/>
        <w:tblLook w:firstColumn="1" w:firstRow="1" w:lastColumn="0" w:lastRow="0" w:noHBand="0" w:noVBand="1" w:val="04A0"/>
        <w:tblInd w:w="120" w:type="dxa"/>
      </w:tblPr>
      <w:tblGrid>
        <w:gridCol w:w="4200"/>
        <w:gridCol w:w="1800"/>
        <w:gridCol w:w="1800"/>
        <w:gridCol w:w="1560"/>
      </w:tblGrid>
      <w:tr>
        <w:trPr>
          <w:tblHeader w:val="true"/>
        </w:trPr>
        <w:tc>
          <w:tcPr>
            <w:tcW w:type="dxa" w:w="4200"/>
            <w:tcMar>
              <w:top w:w="80" w:type="dxa"/>
              <w:start w:w="120" w:type="dxa"/>
              <w:bottom w:w="80" w:type="dxa"/>
              <w:end w:w="120" w:type="dxa"/>
            </w:tcMar>
            <w:vAlign w:val="center"/>
            <w:shd w:fill="F2F4F7"/>
          </w:tcPr>
          <w:p>
            <w:pPr>
              <w:jc w:val="left"/>
            </w:pPr>
            <w:r>
              <w:rPr>
                <w:rFonts w:ascii="Calibri" w:hAnsi="Calibri"/>
                <w:b/>
                <w:color w:val="203748"/>
                <w:sz w:val="20"/>
              </w:rPr>
              <w:t>Check</w:t>
            </w:r>
          </w:p>
        </w:tc>
        <w:tc>
          <w:tcPr>
            <w:tcW w:type="dxa" w:w="1800"/>
            <w:tcMar>
              <w:top w:w="80" w:type="dxa"/>
              <w:start w:w="120" w:type="dxa"/>
              <w:bottom w:w="80" w:type="dxa"/>
              <w:end w:w="120" w:type="dxa"/>
            </w:tcMar>
            <w:vAlign w:val="center"/>
            <w:shd w:fill="F2F4F7"/>
          </w:tcPr>
          <w:p>
            <w:pPr>
              <w:jc w:val="center"/>
            </w:pPr>
            <w:r>
              <w:rPr>
                <w:rFonts w:ascii="Calibri" w:hAnsi="Calibri"/>
                <w:b/>
                <w:color w:val="203748"/>
                <w:sz w:val="20"/>
              </w:rPr>
              <w:t>Passed</w:t>
            </w:r>
          </w:p>
        </w:tc>
        <w:tc>
          <w:tcPr>
            <w:tcW w:type="dxa" w:w="1800"/>
            <w:tcMar>
              <w:top w:w="80" w:type="dxa"/>
              <w:start w:w="120" w:type="dxa"/>
              <w:bottom w:w="80" w:type="dxa"/>
              <w:end w:w="120" w:type="dxa"/>
            </w:tcMar>
            <w:vAlign w:val="center"/>
            <w:shd w:fill="F2F4F7"/>
          </w:tcPr>
          <w:p>
            <w:pPr>
              <w:jc w:val="center"/>
            </w:pPr>
            <w:r>
              <w:rPr>
                <w:rFonts w:ascii="Calibri" w:hAnsi="Calibri"/>
                <w:b/>
                <w:color w:val="203748"/>
                <w:sz w:val="20"/>
              </w:rPr>
              <w:t>Expected</w:t>
            </w:r>
          </w:p>
        </w:tc>
        <w:tc>
          <w:tcPr>
            <w:tcW w:type="dxa" w:w="1560"/>
            <w:tcMar>
              <w:top w:w="80" w:type="dxa"/>
              <w:start w:w="120" w:type="dxa"/>
              <w:bottom w:w="80" w:type="dxa"/>
              <w:end w:w="120" w:type="dxa"/>
            </w:tcMar>
            <w:vAlign w:val="center"/>
            <w:shd w:fill="F2F4F7"/>
          </w:tcPr>
          <w:p>
            <w:pPr>
              <w:jc w:val="center"/>
            </w:pPr>
            <w:r>
              <w:rPr>
                <w:rFonts w:ascii="Calibri" w:hAnsi="Calibri"/>
                <w:b/>
                <w:color w:val="203748"/>
                <w:sz w:val="20"/>
              </w:rPr>
              <w:t>Status</w:t>
            </w:r>
          </w:p>
        </w:tc>
      </w:tr>
      <w:tr>
        <w:tc>
          <w:tcPr>
            <w:tcW w:type="dxa" w:w="4200"/>
            <w:tcMar>
              <w:top w:w="80" w:type="dxa"/>
              <w:start w:w="120" w:type="dxa"/>
              <w:bottom w:w="80" w:type="dxa"/>
              <w:end w:w="120" w:type="dxa"/>
            </w:tcMar>
            <w:vAlign w:val="center"/>
          </w:tcPr>
          <w:p>
            <w:pPr>
              <w:jc w:val="left"/>
            </w:pPr>
            <w:r>
              <w:rPr>
                <w:rFonts w:ascii="Calibri" w:hAnsi="Calibri"/>
                <w:b w:val="0"/>
                <w:color w:val="202124"/>
                <w:sz w:val="20"/>
              </w:rPr>
              <w:t>Chunk SHA-256</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560"/>
            <w:tcMar>
              <w:top w:w="80" w:type="dxa"/>
              <w:start w:w="120" w:type="dxa"/>
              <w:bottom w:w="80" w:type="dxa"/>
              <w:end w:w="120" w:type="dxa"/>
            </w:tcMar>
            <w:vAlign w:val="center"/>
          </w:tcPr>
          <w:p>
            <w:pPr>
              <w:jc w:val="center"/>
            </w:pPr>
            <w:r>
              <w:rPr>
                <w:rFonts w:ascii="Calibri" w:hAnsi="Calibri"/>
                <w:b/>
                <w:color w:val="2E7D32"/>
                <w:sz w:val="20"/>
              </w:rPr>
              <w:t>PASS</w:t>
            </w:r>
          </w:p>
        </w:tc>
      </w:tr>
      <w:tr>
        <w:tc>
          <w:tcPr>
            <w:tcW w:type="dxa" w:w="4200"/>
            <w:tcMar>
              <w:top w:w="80" w:type="dxa"/>
              <w:start w:w="120" w:type="dxa"/>
              <w:bottom w:w="80" w:type="dxa"/>
              <w:end w:w="120" w:type="dxa"/>
            </w:tcMar>
            <w:vAlign w:val="center"/>
          </w:tcPr>
          <w:p>
            <w:pPr>
              <w:jc w:val="left"/>
            </w:pPr>
            <w:r>
              <w:rPr>
                <w:rFonts w:ascii="Calibri" w:hAnsi="Calibri"/>
                <w:b w:val="0"/>
                <w:color w:val="202124"/>
                <w:sz w:val="20"/>
              </w:rPr>
              <w:t>Embedding text</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560"/>
            <w:tcMar>
              <w:top w:w="80" w:type="dxa"/>
              <w:start w:w="120" w:type="dxa"/>
              <w:bottom w:w="80" w:type="dxa"/>
              <w:end w:w="120" w:type="dxa"/>
            </w:tcMar>
            <w:vAlign w:val="center"/>
          </w:tcPr>
          <w:p>
            <w:pPr>
              <w:jc w:val="center"/>
            </w:pPr>
            <w:r>
              <w:rPr>
                <w:rFonts w:ascii="Calibri" w:hAnsi="Calibri"/>
                <w:b/>
                <w:color w:val="2E7D32"/>
                <w:sz w:val="20"/>
              </w:rPr>
              <w:t>PASS</w:t>
            </w:r>
          </w:p>
        </w:tc>
      </w:tr>
      <w:tr>
        <w:tc>
          <w:tcPr>
            <w:tcW w:type="dxa" w:w="4200"/>
            <w:tcMar>
              <w:top w:w="80" w:type="dxa"/>
              <w:start w:w="120" w:type="dxa"/>
              <w:bottom w:w="80" w:type="dxa"/>
              <w:end w:w="120" w:type="dxa"/>
            </w:tcMar>
            <w:vAlign w:val="center"/>
          </w:tcPr>
          <w:p>
            <w:pPr>
              <w:jc w:val="left"/>
            </w:pPr>
            <w:r>
              <w:rPr>
                <w:rFonts w:ascii="Calibri" w:hAnsi="Calibri"/>
                <w:b w:val="0"/>
                <w:color w:val="202124"/>
                <w:sz w:val="20"/>
              </w:rPr>
              <w:t>Exact citations</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560"/>
            <w:tcMar>
              <w:top w:w="80" w:type="dxa"/>
              <w:start w:w="120" w:type="dxa"/>
              <w:bottom w:w="80" w:type="dxa"/>
              <w:end w:w="120" w:type="dxa"/>
            </w:tcMar>
            <w:vAlign w:val="center"/>
          </w:tcPr>
          <w:p>
            <w:pPr>
              <w:jc w:val="center"/>
            </w:pPr>
            <w:r>
              <w:rPr>
                <w:rFonts w:ascii="Calibri" w:hAnsi="Calibri"/>
                <w:b/>
                <w:color w:val="2E7D32"/>
                <w:sz w:val="20"/>
              </w:rPr>
              <w:t>PASS</w:t>
            </w:r>
          </w:p>
        </w:tc>
      </w:tr>
      <w:tr>
        <w:tc>
          <w:tcPr>
            <w:tcW w:type="dxa" w:w="4200"/>
            <w:tcMar>
              <w:top w:w="80" w:type="dxa"/>
              <w:start w:w="120" w:type="dxa"/>
              <w:bottom w:w="80" w:type="dxa"/>
              <w:end w:w="120" w:type="dxa"/>
            </w:tcMar>
            <w:vAlign w:val="center"/>
          </w:tcPr>
          <w:p>
            <w:pPr>
              <w:jc w:val="left"/>
            </w:pPr>
            <w:r>
              <w:rPr>
                <w:rFonts w:ascii="Calibri" w:hAnsi="Calibri"/>
                <w:b w:val="0"/>
                <w:color w:val="202124"/>
                <w:sz w:val="20"/>
              </w:rPr>
              <w:t>Manifest state</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560"/>
            <w:tcMar>
              <w:top w:w="80" w:type="dxa"/>
              <w:start w:w="120" w:type="dxa"/>
              <w:bottom w:w="80" w:type="dxa"/>
              <w:end w:w="120" w:type="dxa"/>
            </w:tcMar>
            <w:vAlign w:val="center"/>
          </w:tcPr>
          <w:p>
            <w:pPr>
              <w:jc w:val="center"/>
            </w:pPr>
            <w:r>
              <w:rPr>
                <w:rFonts w:ascii="Calibri" w:hAnsi="Calibri"/>
                <w:b/>
                <w:color w:val="2E7D32"/>
                <w:sz w:val="20"/>
              </w:rPr>
              <w:t>PASS</w:t>
            </w:r>
          </w:p>
        </w:tc>
      </w:tr>
      <w:tr>
        <w:tc>
          <w:tcPr>
            <w:tcW w:type="dxa" w:w="4200"/>
            <w:tcMar>
              <w:top w:w="80" w:type="dxa"/>
              <w:start w:w="120" w:type="dxa"/>
              <w:bottom w:w="80" w:type="dxa"/>
              <w:end w:w="120" w:type="dxa"/>
            </w:tcMar>
            <w:vAlign w:val="center"/>
          </w:tcPr>
          <w:p>
            <w:pPr>
              <w:jc w:val="left"/>
            </w:pPr>
            <w:r>
              <w:rPr>
                <w:rFonts w:ascii="Calibri" w:hAnsi="Calibri"/>
                <w:b w:val="0"/>
                <w:color w:val="202124"/>
                <w:sz w:val="20"/>
              </w:rPr>
              <w:t>Parsed-source span</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800"/>
            <w:tcMar>
              <w:top w:w="80" w:type="dxa"/>
              <w:start w:w="120" w:type="dxa"/>
              <w:bottom w:w="80" w:type="dxa"/>
              <w:end w:w="120" w:type="dxa"/>
            </w:tcMar>
            <w:vAlign w:val="center"/>
          </w:tcPr>
          <w:p>
            <w:pPr>
              <w:jc w:val="center"/>
            </w:pPr>
            <w:r>
              <w:rPr>
                <w:rFonts w:ascii="Calibri" w:hAnsi="Calibri"/>
                <w:b w:val="0"/>
                <w:color w:val="202124"/>
                <w:sz w:val="20"/>
              </w:rPr>
              <w:t>2,000</w:t>
            </w:r>
          </w:p>
        </w:tc>
        <w:tc>
          <w:tcPr>
            <w:tcW w:type="dxa" w:w="1560"/>
            <w:tcMar>
              <w:top w:w="80" w:type="dxa"/>
              <w:start w:w="120" w:type="dxa"/>
              <w:bottom w:w="80" w:type="dxa"/>
              <w:end w:w="120" w:type="dxa"/>
            </w:tcMar>
            <w:vAlign w:val="center"/>
          </w:tcPr>
          <w:p>
            <w:pPr>
              <w:jc w:val="center"/>
            </w:pPr>
            <w:r>
              <w:rPr>
                <w:rFonts w:ascii="Calibri" w:hAnsi="Calibri"/>
                <w:b/>
                <w:color w:val="2E7D32"/>
                <w:sz w:val="20"/>
              </w:rPr>
              <w:t>PASS</w:t>
            </w:r>
          </w:p>
        </w:tc>
      </w:tr>
    </w:tbl>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0"/>
            </w:pPr>
            <w:r>
              <w:rPr>
                <w:rFonts w:ascii="Calibri" w:hAnsi="Calibri"/>
                <w:b/>
                <w:color w:val="1F4D78"/>
                <w:sz w:val="21"/>
              </w:rPr>
              <w:t xml:space="preserve">What this proves: </w:t>
            </w:r>
            <w:r>
              <w:rPr>
                <w:rFonts w:ascii="Calibri" w:hAnsi="Calibri"/>
                <w:color w:val="202124"/>
                <w:sz w:val="21"/>
              </w:rPr>
              <w:t>The package is internally consistent and traceable to parsed source text. Human review is still needed to judge reading order, sentence boundaries, metadata meaning, and table usability.</w:t>
            </w:r>
          </w:p>
        </w:tc>
      </w:tr>
    </w:tbl>
    <w:p>
      <w:pPr>
        <w:pStyle w:val="Heading1"/>
      </w:pPr>
      <w:r>
        <w:t>Sampling method</w:t>
      </w:r>
    </w:p>
    <w:p>
      <w:pPr>
        <w:pStyle w:val="ListBullet"/>
      </w:pPr>
      <w:r>
        <w:t>Use deterministic seed 20260731.</w:t>
      </w:r>
    </w:p>
    <w:p>
      <w:pPr>
        <w:pStyle w:val="ListBullet"/>
      </w:pPr>
      <w:r>
        <w:t>Give each topic a minimum of 30 chunks.</w:t>
      </w:r>
    </w:p>
    <w:p>
      <w:pPr>
        <w:pStyle w:val="ListBullet"/>
      </w:pPr>
      <w:r>
        <w:t>Allocate remaining rows in line with topic size.</w:t>
      </w:r>
    </w:p>
    <w:p>
      <w:pPr>
        <w:pStyle w:val="ListBullet"/>
      </w:pPr>
      <w:r>
        <w:t>Keep the narrative and layout-sensitive mix inside each topic.</w:t>
      </w:r>
    </w:p>
    <w:p>
      <w:pPr>
        <w:pStyle w:val="ListBullet"/>
      </w:pPr>
      <w:r>
        <w:t>Limit each report to 15 chunks.</w:t>
      </w:r>
    </w:p>
    <w:p>
      <w:pPr>
        <w:pStyle w:val="ListBullet"/>
      </w:pPr>
      <w:r>
        <w:t>Exclude noise and held rows.</w:t>
      </w:r>
    </w:p>
    <w:p>
      <w:pPr>
        <w:pStyle w:val="Heading1"/>
      </w:pPr>
      <w:r>
        <w:t>Limits</w:t>
      </w:r>
    </w:p>
    <w:p>
      <w:r>
        <w:t>This is a designed review sample, not a simple random sample. Review results should not be used as a raw statistical defect rate. Some section titles are table fragments. Reviewers should focus on whether chunk_text is readable and can support a cited answer. Layout-sensitive chunks may place a number farther from its label than the source page did; flag it only when meaning is lost or changed.</w:t>
      </w:r>
    </w:p>
    <w:p>
      <w:pPr>
        <w:pStyle w:val="Heading1"/>
      </w:pPr>
      <w:r>
        <w:t>Review instructions</w:t>
      </w:r>
    </w:p>
    <w:p>
      <w:pPr>
        <w:pStyle w:val="ListNumber"/>
      </w:pPr>
      <w:r>
        <w:t>Open review_template.csv.</w:t>
      </w:r>
    </w:p>
    <w:p>
      <w:pPr>
        <w:pStyle w:val="ListNumber"/>
      </w:pPr>
      <w:r>
        <w:t>Read chunk_text and its metadata.</w:t>
      </w:r>
    </w:p>
    <w:p>
      <w:pPr>
        <w:pStyle w:val="ListNumber"/>
      </w:pPr>
      <w:r>
        <w:t>Set review_status to pass or fail.</w:t>
      </w:r>
    </w:p>
    <w:p>
      <w:pPr>
        <w:pStyle w:val="ListNumber"/>
      </w:pPr>
      <w:r>
        <w:t>For a failure, add a short issue_type such as order, cutoff, metadata, or table.</w:t>
      </w:r>
    </w:p>
    <w:p>
      <w:pPr>
        <w:pStyle w:val="ListNumber"/>
      </w:pPr>
      <w:r>
        <w:t>Add a short note that explains the problem.</w:t>
      </w:r>
    </w:p>
    <w:p>
      <w:pPr>
        <w:pStyle w:val="ListNumber"/>
      </w:pPr>
      <w:r>
        <w:t>Return both chunk_id and chunk_text_sha256.</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0"/>
            </w:pPr>
            <w:r>
              <w:rPr>
                <w:rFonts w:ascii="Calibri" w:hAnsi="Calibri"/>
                <w:b/>
                <w:color w:val="1F4D78"/>
                <w:sz w:val="21"/>
              </w:rPr>
              <w:t xml:space="preserve">Important: </w:t>
            </w:r>
            <w:r>
              <w:rPr>
                <w:rFonts w:ascii="Calibri" w:hAnsi="Calibri"/>
                <w:color w:val="202124"/>
                <w:sz w:val="21"/>
              </w:rPr>
              <w:t>chunk_id can change after a rebuild. chunk_text_sha256 is the stable text fingerprint. Returning both fields lets earlier review work carry forward when the text is unchanged.</w:t>
            </w:r>
          </w:p>
        </w:tc>
      </w:tr>
    </w:tbl>
    <w:sectPr w:rsidR="00FC693F" w:rsidRPr="0006063C" w:rsidSect="00034616">
      <w:headerReference w:type="default" r:id="rId9"/>
      <w:footerReference w:type="default" r:id="rId10"/>
      <w:pgSz w:w="12240" w:h="15840"/>
      <w:pgMar w:top="1152" w:right="1440" w:bottom="1080"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7085"/>
        <w:sz w:val="18"/>
      </w:rPr>
      <w:t xml:space="preserve">Dataset esg_3b1c0196c0f9  •  Page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ESG CHUNK DATASET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Chunk Dataset and 2,000-Chunk Handoff</dc:title>
  <dc:subject>Technical status and review handoff</dc:subject>
  <dc:creator>Retail Intelligence ESG</dc:creator>
  <cp:keywords>ESG, chunks, embeddings, validation, handoff</cp:keywords>
  <dc:description>generated by python-docx</dc:description>
  <cp:lastModifiedBy/>
  <cp:revision>1</cp:revision>
  <dcterms:created xsi:type="dcterms:W3CDTF">2013-12-23T23:15:00Z</dcterms:created>
  <dcterms:modified xsi:type="dcterms:W3CDTF">2013-12-23T23:15:00Z</dcterms:modified>
  <cp:category/>
</cp:coreProperties>
</file>