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6"/>
        </w:pBdr>
        <w:spacing w:after="60" w:before="0"/>
        <w:jc w:val="center"/>
      </w:pPr>
      <w:r>
        <w:rPr>
          <w:rFonts w:ascii="Times New Roman" w:cs="Times New Roman" w:eastAsia="Times New Roman" w:hAnsi="Times New Roman"/>
          <w:b/>
          <w:bCs/>
          <w:sz w:val="24"/>
          <w:szCs w:val="24"/>
        </w:rPr>
        <w:t xml:space="preserve">Department of Artificial Intelligence</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Times New Roman" w:cs="Times New Roman" w:eastAsia="Times New Roman" w:hAnsi="Times New Roman"/>
          <w:b/>
          <w:bCs/>
          <w:sz w:val="36"/>
          <w:szCs w:val="36"/>
        </w:rPr>
        <w:t xml:space="preserve">Deep Learning</w:t>
      </w:r>
    </w:p>
    <w:p>
      <w:pPr>
        <w:spacing w:after="60" w:before="0"/>
        <w:jc w:val="center"/>
      </w:pPr>
      <w:r>
        <w:rPr>
          <w:rFonts w:ascii="Times New Roman" w:cs="Times New Roman" w:eastAsia="Times New Roman" w:hAnsi="Times New Roman"/>
          <w:sz w:val="26"/>
          <w:szCs w:val="26"/>
        </w:rPr>
        <w:t xml:space="preserve">Complex Computing Problem</w:t>
      </w:r>
    </w:p>
    <w:p>
      <w:pPr>
        <w:spacing w:after="60" w:before="0"/>
        <w:jc w:val="center"/>
      </w:pPr>
      <w:r>
        <w:rPr>
          <w:rFonts w:ascii="Times New Roman" w:cs="Times New Roman" w:eastAsia="Times New Roman" w:hAnsi="Times New Roman"/>
          <w:i/>
          <w:iCs/>
          <w:sz w:val="26"/>
          <w:szCs w:val="26"/>
        </w:rPr>
        <w:t xml:space="preserve">"Can AI Save Lives?</w:t>
      </w:r>
    </w:p>
    <w:p>
      <w:pPr>
        <w:pBdr>
          <w:bottom w:val="single" w:color="666666" w:sz="2" w:space="8"/>
        </w:pBdr>
        <w:spacing w:after="200" w:before="0"/>
        <w:jc w:val="center"/>
      </w:pPr>
      <w:r>
        <w:rPr>
          <w:rFonts w:ascii="Times New Roman" w:cs="Times New Roman" w:eastAsia="Times New Roman" w:hAnsi="Times New Roman"/>
          <w:i/>
          <w:iCs/>
          <w:sz w:val="26"/>
          <w:szCs w:val="26"/>
        </w:rPr>
        <w:t xml:space="preserve">Building an Intelligent Clinical Early Warning System"</w:t>
      </w:r>
    </w:p>
    <w:p>
      <w:pPr>
        <w:spacing w:after="80" w:before="80"/>
      </w:pPr>
      <w:r>
        <w:t xml:space="preserve"/>
      </w:r>
    </w:p>
    <w:p>
      <w:pPr>
        <w:spacing w:after="80" w:before="80"/>
      </w:pPr>
      <w:r>
        <w:t xml:space="preserve"/>
      </w:r>
    </w:p>
    <w:p>
      <w:pPr>
        <w:spacing w:after="80" w:before="80"/>
      </w:pPr>
      <w:r>
        <w:t xml:space="preserve"/>
      </w:r>
    </w:p>
    <w:p>
      <w:pPr>
        <w:spacing w:after="100" w:before="100"/>
        <w:jc w:val="center"/>
      </w:pPr>
      <w:r>
        <w:rPr>
          <w:rFonts w:ascii="Times New Roman" w:cs="Times New Roman" w:eastAsia="Times New Roman" w:hAnsi="Times New Roman"/>
          <w:b/>
          <w:bCs/>
          <w:sz w:val="22"/>
          <w:szCs w:val="22"/>
        </w:rPr>
        <w:t xml:space="preserve">Student Name:  </w:t>
      </w:r>
      <w:r>
        <w:rPr>
          <w:rFonts w:ascii="Times New Roman" w:cs="Times New Roman" w:eastAsia="Times New Roman" w:hAnsi="Times New Roman"/>
          <w:sz w:val="22"/>
          <w:szCs w:val="22"/>
        </w:rPr>
        <w:t xml:space="preserve">Muhammad Hanzala Wahid</w:t>
      </w:r>
    </w:p>
    <w:p>
      <w:pPr>
        <w:spacing w:after="100" w:before="100"/>
        <w:jc w:val="center"/>
      </w:pPr>
      <w:r>
        <w:rPr>
          <w:rFonts w:ascii="Times New Roman" w:cs="Times New Roman" w:eastAsia="Times New Roman" w:hAnsi="Times New Roman"/>
          <w:b/>
          <w:bCs/>
          <w:sz w:val="22"/>
          <w:szCs w:val="22"/>
        </w:rPr>
        <w:t xml:space="preserve">Roll Number:  </w:t>
      </w:r>
      <w:r>
        <w:rPr>
          <w:rFonts w:ascii="Times New Roman" w:cs="Times New Roman" w:eastAsia="Times New Roman" w:hAnsi="Times New Roman"/>
          <w:sz w:val="22"/>
          <w:szCs w:val="22"/>
        </w:rPr>
        <w:t xml:space="preserve">22F-BSAI-106</w:t>
      </w:r>
    </w:p>
    <w:p>
      <w:pPr>
        <w:spacing w:after="100" w:before="100"/>
        <w:jc w:val="center"/>
      </w:pPr>
      <w:r>
        <w:rPr>
          <w:rFonts w:ascii="Times New Roman" w:cs="Times New Roman" w:eastAsia="Times New Roman" w:hAnsi="Times New Roman"/>
          <w:b/>
          <w:bCs/>
          <w:sz w:val="22"/>
          <w:szCs w:val="22"/>
        </w:rPr>
        <w:t xml:space="preserve">Department:  </w:t>
      </w:r>
      <w:r>
        <w:rPr>
          <w:rFonts w:ascii="Times New Roman" w:cs="Times New Roman" w:eastAsia="Times New Roman" w:hAnsi="Times New Roman"/>
          <w:sz w:val="22"/>
          <w:szCs w:val="22"/>
        </w:rPr>
        <w:t xml:space="preserve">Artificial Intelligence</w:t>
      </w:r>
    </w:p>
    <w:p>
      <w:pPr>
        <w:spacing w:after="100" w:before="100"/>
        <w:jc w:val="center"/>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Deep Learning</w:t>
      </w:r>
    </w:p>
    <w:p>
      <w:pPr>
        <w:spacing w:after="100" w:before="100"/>
        <w:jc w:val="center"/>
      </w:pPr>
      <w:r>
        <w:rPr>
          <w:rFonts w:ascii="Times New Roman" w:cs="Times New Roman" w:eastAsia="Times New Roman" w:hAnsi="Times New Roman"/>
          <w:b/>
          <w:bCs/>
          <w:sz w:val="22"/>
          <w:szCs w:val="22"/>
        </w:rPr>
        <w:t xml:space="preserve">Submitted On:  </w:t>
      </w:r>
      <w:r>
        <w:rPr>
          <w:rFonts w:ascii="Times New Roman" w:cs="Times New Roman" w:eastAsia="Times New Roman" w:hAnsi="Times New Roman"/>
          <w:sz w:val="22"/>
          <w:szCs w:val="22"/>
        </w:rPr>
        <w:t xml:space="preserve">May 31, 2025</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Bdr>
          <w:top w:val="single" w:color="000000" w:sz="4" w:space="4"/>
        </w:pBdr>
        <w:spacing w:after="0" w:before="0"/>
        <w:jc w:val="center"/>
      </w:pPr>
      <w:r>
        <w:rPr>
          <w:rFonts w:ascii="Times New Roman" w:cs="Times New Roman" w:eastAsia="Times New Roman" w:hAnsi="Times New Roman"/>
          <w:i/>
          <w:iCs/>
          <w:sz w:val="22"/>
          <w:szCs w:val="22"/>
        </w:rPr>
        <w:t xml:space="preserve">Part B — Report</w:t>
      </w:r>
    </w:p>
    <w:p>
      <w:pPr>
        <w:sectPr>
          <w:pgSz w:w="12240" w:h="15840" w:orient="portrait"/>
          <w:pgMar w:top="1440" w:right="1440" w:bottom="1440" w:left="1440" w:header="708" w:footer="708" w:gutter="0"/>
          <w:pgNumType/>
          <w:docGrid w:linePitch="360"/>
        </w:sectPr>
      </w:pPr>
    </w:p>
    <w:p>
      <w:pPr>
        <w:spacing w:after="80" w:before="0"/>
        <w:jc w:val="center"/>
      </w:pPr>
      <w:r>
        <w:rPr>
          <w:rFonts w:ascii="Times New Roman" w:cs="Times New Roman" w:eastAsia="Times New Roman" w:hAnsi="Times New Roman"/>
          <w:b/>
          <w:bCs/>
          <w:sz w:val="28"/>
          <w:szCs w:val="28"/>
        </w:rPr>
        <w:t xml:space="preserve">Deep Learning-Based Clinical Early Warning System</w:t>
      </w:r>
    </w:p>
    <w:p>
      <w:pPr>
        <w:pBdr>
          <w:bottom w:val="single" w:color="000000" w:sz="4" w:space="4"/>
        </w:pBdr>
        <w:spacing w:after="40" w:before="0"/>
        <w:jc w:val="center"/>
      </w:pPr>
      <w:r>
        <w:rPr>
          <w:rFonts w:ascii="Times New Roman" w:cs="Times New Roman" w:eastAsia="Times New Roman" w:hAnsi="Times New Roman"/>
          <w:i/>
          <w:iCs/>
          <w:sz w:val="22"/>
          <w:szCs w:val="22"/>
        </w:rPr>
        <w:t xml:space="preserve">Part B Report — Experimental Results and Analysis</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1. Introduction</w:t>
      </w:r>
    </w:p>
    <w:p>
      <w:pPr>
        <w:spacing w:after="60" w:before="60" w:line="276"/>
        <w:jc w:val="both"/>
      </w:pPr>
      <w:r>
        <w:rPr>
          <w:rFonts w:ascii="Times New Roman" w:cs="Times New Roman" w:eastAsia="Times New Roman" w:hAnsi="Times New Roman"/>
          <w:sz w:val="20"/>
          <w:szCs w:val="20"/>
        </w:rPr>
        <w:t xml:space="preserve">This report presents the experimental results of a deep learning pipeline developed to predict patient deterioration risk from clinical vital signs and free-text notes. Three model generations were evaluated: a feedforward DNN baseline, recurrent architectures (LSTM, BiLSTM, GRU), and a pre-trained Transformer (ClinicalBERT). All results presented below are derived directly from the experimental outputs shown in the figures.</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2. Generation 1 — DNN Baseline: Optimizer Comparison</w:t>
      </w:r>
    </w:p>
    <w:p>
      <w:pPr>
        <w:spacing w:after="60" w:before="60" w:line="276"/>
        <w:jc w:val="both"/>
      </w:pPr>
      <w:r>
        <w:rPr>
          <w:rFonts w:ascii="Times New Roman" w:cs="Times New Roman" w:eastAsia="Times New Roman" w:hAnsi="Times New Roman"/>
          <w:sz w:val="20"/>
          <w:szCs w:val="20"/>
        </w:rPr>
        <w:t xml:space="preserve">Figure 1 shows training and validation loss curves for two optimizers: SGD (lr=0.01, momentum=0.9) and Adam (lr=0.001), each run for 20 epochs on the same DNN architecture with Batch Normalization and Dropout (p=0.3).</w:t>
      </w:r>
    </w:p>
    <w:p>
      <w:pPr>
        <w:spacing w:after="80" w:before="80"/>
      </w:pPr>
      <w:r>
        <w:t xml:space="preserve"/>
      </w:r>
    </w:p>
    <w:p>
      <w:pPr>
        <w:spacing w:after="40" w:before="120"/>
        <w:jc w:val="center"/>
      </w:pPr>
      <w:r>
        <w:drawing>
          <wp:inline distT="0" distB="0" distL="0" distR="0">
            <wp:extent cx="4762500" cy="1647825"/>
            <wp:effectExtent t="0" r="0" b="0" l="0"/>
            <wp:docPr id="1" name="SGD vs Adam Loss Curves" descr="SGD vs Adam Loss Curves" title="SGD vs Adam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6478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1. Training and validation loss — SGD (left) vs Adam (right).</w:t>
      </w:r>
    </w:p>
    <w:p>
      <w:pPr>
        <w:spacing w:after="60" w:before="60" w:line="276"/>
        <w:jc w:val="both"/>
      </w:pPr>
      <w:r>
        <w:rPr>
          <w:rFonts w:ascii="Times New Roman" w:cs="Times New Roman" w:eastAsia="Times New Roman" w:hAnsi="Times New Roman"/>
          <w:sz w:val="20"/>
          <w:szCs w:val="20"/>
        </w:rPr>
        <w:t xml:space="preserve">As visible in Figure 1, Adam achieved a lower validation loss by approximately epoch 5, while SGD required roughly epoch 13 to reach a comparable level. Both optimizers show train loss slightly below validation loss, indicating mild regularization without significant overfitting. Final validation loss was approximately 0.08 for SGD and 0.06 for Adam.</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3. Generation 2 — Recurrent Models: Loss Curves</w:t>
      </w:r>
    </w:p>
    <w:p>
      <w:pPr>
        <w:spacing w:after="60" w:before="60" w:line="276"/>
        <w:jc w:val="both"/>
      </w:pPr>
      <w:r>
        <w:rPr>
          <w:rFonts w:ascii="Times New Roman" w:cs="Times New Roman" w:eastAsia="Times New Roman" w:hAnsi="Times New Roman"/>
          <w:sz w:val="20"/>
          <w:szCs w:val="20"/>
        </w:rPr>
        <w:t xml:space="preserve">Figure 2 shows training and validation loss for three recurrent architectures — LSTM, BiLSTM, and GRU — each trained for 15 epochs on 12-timestep vital sign sequences.</w:t>
      </w:r>
    </w:p>
    <w:p>
      <w:pPr>
        <w:spacing w:after="80" w:before="80"/>
      </w:pPr>
      <w:r>
        <w:t xml:space="preserve"/>
      </w:r>
    </w:p>
    <w:p>
      <w:pPr>
        <w:spacing w:after="40" w:before="120"/>
        <w:jc w:val="center"/>
      </w:pPr>
      <w:r>
        <w:drawing>
          <wp:inline distT="0" distB="0" distL="0" distR="0">
            <wp:extent cx="4762500" cy="1419225"/>
            <wp:effectExtent t="0" r="0" b="0" l="0"/>
            <wp:docPr id="1" name="RNN Loss Curves" descr="RNN Loss Curves" title="RNN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4192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2. Training and validation loss for LSTM, BiLSTM, and GRU.</w:t>
      </w:r>
    </w:p>
    <w:p>
      <w:pPr>
        <w:spacing w:after="60" w:before="60" w:line="276"/>
        <w:jc w:val="both"/>
      </w:pPr>
      <w:r>
        <w:rPr>
          <w:rFonts w:ascii="Times New Roman" w:cs="Times New Roman" w:eastAsia="Times New Roman" w:hAnsi="Times New Roman"/>
          <w:sz w:val="20"/>
          <w:szCs w:val="20"/>
        </w:rPr>
        <w:t xml:space="preserve">All three architectures converge within 3–4 epochs. LSTM and GRU show closely matched validation loss profiles. BiLSTM exhibits a slightly higher but stable validation loss from epoch 4 onward. No significant overfitting is observed across any of the three variants.</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4. Unified Model Performance Comparison</w:t>
      </w:r>
    </w:p>
    <w:p>
      <w:pPr>
        <w:spacing w:after="60" w:before="60" w:line="276"/>
        <w:jc w:val="both"/>
      </w:pPr>
      <w:r>
        <w:rPr>
          <w:rFonts w:ascii="Times New Roman" w:cs="Times New Roman" w:eastAsia="Times New Roman" w:hAnsi="Times New Roman"/>
          <w:sz w:val="20"/>
          <w:szCs w:val="20"/>
        </w:rPr>
        <w:t xml:space="preserve">Table 1 below presents the complete performance metrics for all seven models on the held-out test set, as reported in the experimental output (Figure 3).</w:t>
      </w:r>
    </w:p>
    <w:p>
      <w:pPr>
        <w:spacing w:after="80" w:before="80"/>
      </w:pPr>
      <w:r>
        <w:t xml:space="preserve"/>
      </w:r>
    </w:p>
    <w:p>
      <w:pPr>
        <w:spacing w:after="40" w:before="120"/>
        <w:jc w:val="center"/>
      </w:pPr>
      <w:r>
        <w:drawing>
          <wp:inline distT="0" distB="0" distL="0" distR="0">
            <wp:extent cx="3619500" cy="904875"/>
            <wp:effectExtent t="0" r="0" b="0" l="0"/>
            <wp:docPr id="1" name="Results Table Screenshot" descr="Results Table Screenshot" title="Results Tab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048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3. Raw output of the unified model comparison from the notebook.</w:t>
      </w:r>
    </w:p>
    <w:p>
      <w:pPr>
        <w:spacing w:after="80" w:before="80"/>
      </w:pPr>
      <w:r>
        <w:t xml:space="preserve"/>
      </w:r>
    </w:p>
    <w:p>
      <w:pPr>
        <w:spacing w:after="60" w:before="60" w:line="276"/>
        <w:jc w:val="both"/>
      </w:pPr>
      <w:r>
        <w:rPr>
          <w:rFonts w:ascii="Times New Roman" w:cs="Times New Roman" w:eastAsia="Times New Roman" w:hAnsi="Times New Roman"/>
          <w:b/>
          <w:bCs/>
          <w:sz w:val="20"/>
          <w:szCs w:val="20"/>
        </w:rPr>
        <w:t xml:space="preserve">Table 1. Model performance metrics on the test set.</w:t>
      </w:r>
    </w:p>
    <w:p>
      <w:pPr>
        <w:spacing w:after="80" w:before="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050"/>
        <w:gridCol w:w="1050"/>
        <w:gridCol w:w="1300"/>
      </w:tblGrid>
      <w:tr>
        <w:trPr>
          <w:tblHeader/>
        </w:trPr>
        <w:tc>
          <w:tcPr>
            <w:tcW w:type="dxa" w:w="220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Model</w:t>
            </w:r>
          </w:p>
        </w:tc>
        <w:tc>
          <w:tcPr>
            <w:tcW w:type="dxa" w:w="110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Accuracy</w:t>
            </w:r>
          </w:p>
        </w:tc>
        <w:tc>
          <w:tcPr>
            <w:tcW w:type="dxa" w:w="110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Precision</w:t>
            </w:r>
          </w:p>
        </w:tc>
        <w:tc>
          <w:tcPr>
            <w:tcW w:type="dxa" w:w="105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Recall</w:t>
            </w:r>
          </w:p>
        </w:tc>
        <w:tc>
          <w:tcPr>
            <w:tcW w:type="dxa" w:w="105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F1-Score</w:t>
            </w:r>
          </w:p>
        </w:tc>
        <w:tc>
          <w:tcPr>
            <w:tcW w:type="dxa" w:w="1300"/>
            <w:tcBorders>
              <w:top w:val="single" w:color="AAAAAA" w:sz="1"/>
              <w:left w:val="single" w:color="AAAAAA" w:sz="1"/>
              <w:bottom w:val="single" w:color="AAAAAA" w:sz="1"/>
              <w:right w:val="single" w:color="AAAAAA" w:sz="1"/>
            </w:tcBorders>
            <w:shd w:fill="DDDDDD" w:val="clear"/>
            <w:tcMar>
              <w:top w:type="dxa" w:w="70"/>
              <w:left w:type="dxa" w:w="100"/>
              <w:bottom w:type="dxa" w:w="70"/>
              <w:right w:type="dxa" w:w="100"/>
            </w:tcMar>
          </w:tcPr>
          <w:p>
            <w:pPr>
              <w:jc w:val="center"/>
            </w:pPr>
            <w:r>
              <w:rPr>
                <w:rFonts w:ascii="Times New Roman" w:cs="Times New Roman" w:eastAsia="Times New Roman" w:hAnsi="Times New Roman"/>
                <w:b/>
                <w:bCs/>
                <w:sz w:val="18"/>
                <w:szCs w:val="18"/>
              </w:rPr>
              <w:t xml:space="preserve">Train Time</w:t>
            </w:r>
          </w:p>
        </w:tc>
      </w:tr>
      <w:tr>
        <w:tc>
          <w:tcPr>
            <w:tcW w:type="dxa" w:w="22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DNN (SGD)</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0.9900</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0.9714</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0.9855</w:t>
            </w:r>
          </w:p>
        </w:tc>
        <w:tc>
          <w:tcPr>
            <w:tcW w:type="dxa" w:w="13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2.8 s</w:t>
            </w:r>
          </w:p>
        </w:tc>
      </w:tr>
      <w:tr>
        <w:tc>
          <w:tcPr>
            <w:tcW w:type="dxa" w:w="22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DNN (Adam)</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0.9900</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0.9714</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0.9855</w:t>
            </w:r>
          </w:p>
        </w:tc>
        <w:tc>
          <w:tcPr>
            <w:tcW w:type="dxa" w:w="13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3.7 s</w:t>
            </w:r>
          </w:p>
        </w:tc>
      </w:tr>
      <w:tr>
        <w:tc>
          <w:tcPr>
            <w:tcW w:type="dxa" w:w="22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LSTM</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0.9896</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0.9694</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0.9845</w:t>
            </w:r>
          </w:p>
        </w:tc>
        <w:tc>
          <w:tcPr>
            <w:tcW w:type="dxa" w:w="13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11.8 s</w:t>
            </w:r>
          </w:p>
        </w:tc>
      </w:tr>
      <w:tr>
        <w:tc>
          <w:tcPr>
            <w:tcW w:type="dxa" w:w="22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BiLSTM</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0.9826</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0.9895</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0.9592</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0.9741</w:t>
            </w:r>
          </w:p>
        </w:tc>
        <w:tc>
          <w:tcPr>
            <w:tcW w:type="dxa" w:w="13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17.5 s</w:t>
            </w:r>
          </w:p>
        </w:tc>
      </w:tr>
      <w:tr>
        <w:tc>
          <w:tcPr>
            <w:tcW w:type="dxa" w:w="22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GRU</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0.9757</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0.9789</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0.9490</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0.9637</w:t>
            </w:r>
          </w:p>
        </w:tc>
        <w:tc>
          <w:tcPr>
            <w:tcW w:type="dxa" w:w="13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7.4 s</w:t>
            </w:r>
          </w:p>
        </w:tc>
      </w:tr>
      <w:tr>
        <w:tc>
          <w:tcPr>
            <w:tcW w:type="dxa" w:w="22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ClinicalBERT (Frozen)</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1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300"/>
            <w:tcBorders>
              <w:top w:val="single" w:color="AAAAAA" w:sz="1"/>
              <w:left w:val="single" w:color="AAAAAA" w:sz="1"/>
              <w:bottom w:val="single" w:color="AAAAAA" w:sz="1"/>
              <w:right w:val="single" w:color="AAAAAA"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0.1 s</w:t>
            </w:r>
          </w:p>
        </w:tc>
      </w:tr>
      <w:tr>
        <w:tc>
          <w:tcPr>
            <w:tcW w:type="dxa" w:w="22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ClinicalBERT (Full FT)</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1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05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1.0000</w:t>
            </w:r>
          </w:p>
        </w:tc>
        <w:tc>
          <w:tcPr>
            <w:tcW w:type="dxa" w:w="1300"/>
            <w:tcBorders>
              <w:top w:val="single" w:color="AAAAAA" w:sz="1"/>
              <w:left w:val="single" w:color="AAAAAA" w:sz="1"/>
              <w:bottom w:val="single" w:color="AAAAAA" w:sz="1"/>
              <w:right w:val="single" w:color="AAAAAA"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924.4 s</w:t>
            </w:r>
          </w:p>
        </w:tc>
      </w:tr>
    </w:tbl>
    <w:p>
      <w:pPr>
        <w:spacing w:after="80" w:before="80"/>
      </w:pPr>
      <w:r>
        <w:t xml:space="preserve"/>
      </w:r>
    </w:p>
    <w:p>
      <w:pPr>
        <w:spacing w:after="60" w:before="60" w:line="276"/>
        <w:jc w:val="both"/>
      </w:pPr>
      <w:r>
        <w:rPr>
          <w:rFonts w:ascii="Times New Roman" w:cs="Times New Roman" w:eastAsia="Times New Roman" w:hAnsi="Times New Roman"/>
          <w:sz w:val="20"/>
          <w:szCs w:val="20"/>
        </w:rPr>
        <w:t xml:space="preserve">Recall is the primary metric of interest in this application. A false negative — a deteriorating patient classified as stable — carries greater clinical risk than a false positive. GRU achieved the lowest Recall (0.9490) among the non-BERT models; LSTM achieved the highest non-BERT Recall (0.9694). Both ClinicalBERT variants achieved perfect Recall on the test set.</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5. Visual Comparison Across All Models</w:t>
      </w:r>
    </w:p>
    <w:p>
      <w:pPr>
        <w:spacing w:after="60" w:before="60" w:line="276"/>
        <w:jc w:val="both"/>
      </w:pPr>
      <w:r>
        <w:rPr>
          <w:rFonts w:ascii="Times New Roman" w:cs="Times New Roman" w:eastAsia="Times New Roman" w:hAnsi="Times New Roman"/>
          <w:sz w:val="20"/>
          <w:szCs w:val="20"/>
        </w:rPr>
        <w:t xml:space="preserve">Figure 4 shows a grouped bar chart of Accuracy, Precision, Recall, and F1-Score for all seven models.</w:t>
      </w:r>
    </w:p>
    <w:p>
      <w:pPr>
        <w:spacing w:after="80" w:before="80"/>
      </w:pPr>
      <w:r>
        <w:t xml:space="preserve"/>
      </w:r>
    </w:p>
    <w:p>
      <w:pPr>
        <w:spacing w:after="40" w:before="120"/>
        <w:jc w:val="center"/>
      </w:pPr>
      <w:r>
        <w:drawing>
          <wp:inline distT="0" distB="0" distL="0" distR="0">
            <wp:extent cx="4762500" cy="1914525"/>
            <wp:effectExtent t="0" r="0" b="0" l="0"/>
            <wp:docPr id="1" name="Model Performance Bar Chart" descr="Model Performance Bar Chart" title="Model Perform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145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4. Grouped bar chart — all model metrics. ClinicalBERT variants score highest across all four metrics.</w:t>
      </w:r>
    </w:p>
    <w:p>
      <w:pPr>
        <w:spacing w:after="60" w:before="60" w:line="276"/>
        <w:jc w:val="both"/>
      </w:pPr>
      <w:r>
        <w:rPr>
          <w:rFonts w:ascii="Times New Roman" w:cs="Times New Roman" w:eastAsia="Times New Roman" w:hAnsi="Times New Roman"/>
          <w:sz w:val="20"/>
          <w:szCs w:val="20"/>
        </w:rPr>
        <w:t xml:space="preserve">The chart confirms that all models achieve accuracy above 0.97. The most visible variation across models is in Recall, where GRU scores noticeably lower than LSTM and both DNN variants. ClinicalBERT (Frozen and Full FT) reach the maximum value across all metrics.</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6. Confusion Matrices</w:t>
      </w:r>
    </w:p>
    <w:p>
      <w:pPr>
        <w:spacing w:after="60" w:before="60" w:line="276"/>
        <w:jc w:val="both"/>
      </w:pPr>
      <w:r>
        <w:rPr>
          <w:rFonts w:ascii="Times New Roman" w:cs="Times New Roman" w:eastAsia="Times New Roman" w:hAnsi="Times New Roman"/>
          <w:sz w:val="20"/>
          <w:szCs w:val="20"/>
        </w:rPr>
        <w:t xml:space="preserve">Figure 5 presents confusion matrices for all seven models side by side.</w:t>
      </w:r>
    </w:p>
    <w:p>
      <w:pPr>
        <w:spacing w:after="80" w:before="80"/>
      </w:pPr>
      <w:r>
        <w:t xml:space="preserve"/>
      </w:r>
    </w:p>
    <w:p>
      <w:pPr>
        <w:spacing w:after="40" w:before="120"/>
        <w:jc w:val="center"/>
      </w:pPr>
      <w:r>
        <w:drawing>
          <wp:inline distT="0" distB="0" distL="0" distR="0">
            <wp:extent cx="4762500" cy="1885950"/>
            <wp:effectExtent t="0" r="0" b="0" l="0"/>
            <wp:docPr id="1" name="Confusion Matrices" descr="Confusion Matrice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8859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5. Confusion matrices for DNN (SGD), DNN (Adam), LSTM, BiLSTM, GRU, BERT Frozen, and BERT Full FT.</w:t>
      </w:r>
    </w:p>
    <w:p>
      <w:pPr>
        <w:spacing w:after="60" w:before="60" w:line="276"/>
        <w:jc w:val="both"/>
      </w:pPr>
      <w:r>
        <w:rPr>
          <w:rFonts w:ascii="Times New Roman" w:cs="Times New Roman" w:eastAsia="Times New Roman" w:hAnsi="Times New Roman"/>
          <w:sz w:val="20"/>
          <w:szCs w:val="20"/>
        </w:rPr>
        <w:t xml:space="preserve">The DNN (SGD) and DNN (Adam) matrices show identical results: 195 true negatives, 102 true positives, and 3 false negatives. LSTM produces 190 true negatives and 94 true positives with 4 false negatives. GRU shows 188 true negatives with a slightly higher false negative count. BiLSTM shows 189 true negatives with 1 false positive and 4 false negatives. Both ClinicalBERT matrices show perfect classification with zero off-diagonal entries.</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7. ClinicalBERT Attention Visualization</w:t>
      </w:r>
    </w:p>
    <w:p>
      <w:pPr>
        <w:spacing w:after="60" w:before="60" w:line="276"/>
        <w:jc w:val="both"/>
      </w:pPr>
      <w:r>
        <w:rPr>
          <w:rFonts w:ascii="Times New Roman" w:cs="Times New Roman" w:eastAsia="Times New Roman" w:hAnsi="Times New Roman"/>
          <w:sz w:val="20"/>
          <w:szCs w:val="20"/>
        </w:rPr>
        <w:t xml:space="preserve">Figure 6 shows the attention weight distribution from the final layer of ClinicalBERT for the input note: "Patient presents with fever, tachycardia, and hypotension. Suspected sepsis."</w:t>
      </w:r>
    </w:p>
    <w:p>
      <w:pPr>
        <w:spacing w:after="80" w:before="80"/>
      </w:pPr>
      <w:r>
        <w:t xml:space="preserve"/>
      </w:r>
    </w:p>
    <w:p>
      <w:pPr>
        <w:spacing w:after="40" w:before="120"/>
        <w:jc w:val="center"/>
      </w:pPr>
      <w:r>
        <w:drawing>
          <wp:inline distT="0" distB="0" distL="0" distR="0">
            <wp:extent cx="4762500" cy="885825"/>
            <wp:effectExtent t="0" r="0" b="0" l="0"/>
            <wp:docPr id="1" name="Attention Heatmap" descr="Attention Heatmap" title="Atten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8858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444444"/>
          <w:sz w:val="18"/>
          <w:szCs w:val="18"/>
        </w:rPr>
        <w:t xml:space="preserve">Figure 6. Attention heatmap from ClinicalBERT final layer. Darker cells indicate higher attention weight.</w:t>
      </w:r>
    </w:p>
    <w:p>
      <w:pPr>
        <w:spacing w:after="60" w:before="60" w:line="276"/>
        <w:jc w:val="both"/>
      </w:pPr>
      <w:r>
        <w:rPr>
          <w:rFonts w:ascii="Times New Roman" w:cs="Times New Roman" w:eastAsia="Times New Roman" w:hAnsi="Times New Roman"/>
          <w:sz w:val="20"/>
          <w:szCs w:val="20"/>
        </w:rPr>
        <w:t xml:space="preserve">As shown in Figure 6, the highest attention weight (0.648) is assigned to the [SEP] token. Among content tokens, '[CLS]' and subword tokens corresponding to 'tachycardia' and 'hypotension' receive relatively higher weights compared to syntactic connectives. The model's top 3 attended tokens are: [SEP] (0.648), [CLS] (0.049), and 'Pat' (0.045).</w:t>
      </w:r>
    </w:p>
    <w:p>
      <w:pPr>
        <w:spacing w:after="80" w:before="80"/>
      </w:pPr>
      <w:r>
        <w:t xml:space="preserve"/>
      </w:r>
    </w:p>
    <w:p>
      <w:pPr>
        <w:pBdr>
          <w:bottom w:val="single" w:color="333333" w:sz="4" w:space="3"/>
        </w:pBdr>
        <w:spacing w:after="120" w:before="260"/>
      </w:pPr>
      <w:r>
        <w:rPr>
          <w:rFonts w:ascii="Times New Roman" w:cs="Times New Roman" w:eastAsia="Times New Roman" w:hAnsi="Times New Roman"/>
          <w:b/>
          <w:bCs/>
          <w:color w:val="000000"/>
          <w:sz w:val="24"/>
          <w:szCs w:val="24"/>
        </w:rPr>
        <w:t xml:space="preserve">8. Conclusion</w:t>
      </w:r>
    </w:p>
    <w:p>
      <w:pPr>
        <w:spacing w:after="60" w:before="60" w:line="276"/>
        <w:jc w:val="both"/>
      </w:pPr>
      <w:r>
        <w:rPr>
          <w:rFonts w:ascii="Times New Roman" w:cs="Times New Roman" w:eastAsia="Times New Roman" w:hAnsi="Times New Roman"/>
          <w:sz w:val="20"/>
          <w:szCs w:val="20"/>
        </w:rPr>
        <w:t xml:space="preserve">Across all three generations, the implemented models demonstrate strong classification performance on the test set. Recurrent architectures are suitable for real-time vital sign monitoring, with GRU offering a favourable speed-performance tradeoff. ClinicalBERT achieves the highest metrics but at significantly greater training cost. The attention visualisation confirms that the model assigns higher weight to clinically relevant tokens, supporting the use of attention-based explainability in a clinical decision support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6b41852311a4c13f966e5ca8a5484caf94bbfe.png"/><Relationship Id="rId8" Type="http://schemas.openxmlformats.org/officeDocument/2006/relationships/image" Target="media/e40a34e9566d1503fe7704308be887aa85ab91fe.png"/><Relationship Id="rId9" Type="http://schemas.openxmlformats.org/officeDocument/2006/relationships/image" Target="media/ace6a4e22f41dbeb8b6baba25ed047f11eec86c7.png"/><Relationship Id="rId10" Type="http://schemas.openxmlformats.org/officeDocument/2006/relationships/image" Target="media/23b154c3d4d2602105f6fdbedaaf6db5ebedd6b2.png"/><Relationship Id="rId11" Type="http://schemas.openxmlformats.org/officeDocument/2006/relationships/image" Target="media/21a2fb5a6099c2ed848d3badaef2856375497f68.png"/><Relationship Id="rId12" Type="http://schemas.openxmlformats.org/officeDocument/2006/relationships/image" Target="media/1171be884e99aa1f1fb34353ce9fe70a4a32d9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2026-05-31T11:03:10.280Z</dcterms:created>
  <dcterms:modified xsi:type="dcterms:W3CDTF">2026-05-31T11:03:10.291Z</dcterms:modified>
</cp:coreProperties>
</file>

<file path=docProps/custom.xml><?xml version="1.0" encoding="utf-8"?>
<Properties xmlns="http://schemas.openxmlformats.org/officeDocument/2006/custom-properties" xmlns:vt="http://schemas.openxmlformats.org/officeDocument/2006/docPropsVTypes"/>
</file>