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Outdoor Fix — Lease to Own Platform</w:t>
      </w:r>
    </w:p>
    <w:p>
      <w:pPr>
        <w:spacing w:after="120"/>
      </w:pPr>
      <w:r>
        <w:rPr>
          <w:b/>
          <w:bCs/>
          <w:sz w:val="36"/>
          <w:szCs w:val="36"/>
        </w:rPr>
        <w:t xml:space="preserve">Milestone 4 Report — Equipment Tracking</w:t>
      </w:r>
    </w:p>
    <w:p>
      <w:pPr>
        <w:spacing w:after="240"/>
      </w:pPr>
      <w:r>
        <w:rPr>
          <w:color w:val="6F675F"/>
          <w:sz w:val="18"/>
          <w:szCs w:val="18"/>
        </w:rPr>
        <w:t xml:space="preserve">Prepared for: Joel Stebbins    |    Prepared by: Hanzalah    |    Date: September 2, 2026</w:t>
      </w:r>
    </w:p>
    <w:p>
      <w:pPr>
        <w:spacing w:after="200"/>
      </w:pPr>
      <w:r>
        <w:rPr>
          <w:sz w:val="20"/>
          <w:szCs w:val="20"/>
        </w:rPr>
        <w:t xml:space="preserve">Milestone 4 is Phase 1 of equipment tracking: the simple tracking fields, the serial-number workflow, and a data model laid out so a GPS provider can be added later without rebuilding anything. Every machine is now tracked by its serial number from the moment it enters inventory to the day a customer owns it, with a full service history and a live view for the customer of the exact unit they hold. Live GPS is Phase 2 and is deliberately not built — the client supplies the provider when that phase starts.</w:t>
      </w:r>
    </w:p>
    <w:p>
      <w:pPr>
        <w:pStyle w:val="Heading1"/>
        <w:spacing w:after="150" w:before="300"/>
      </w:pPr>
      <w:r>
        <w:rPr>
          <w:b/>
          <w:bCs/>
        </w:rPr>
        <w:t xml:space="preserve">What was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5803"/>
        <w:gridCol w:w="1498"/>
      </w:tblGrid>
      <w:tr>
        <w:trPr>
          <w:tblHeader/>
        </w:trPr>
        <w:tc>
          <w:tcPr>
            <w:tcW w:type="dxa" w:w="2059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803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  <w:tc>
          <w:tcPr>
            <w:tcW w:type="dxa" w:w="1498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Serial-number inventory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Add, edit, view and remove equipment units. Search matches serial number, model or VIN. The list filters by status and reports live counts across the fleet.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 to a lease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single point where a serial number becomes tied to a customer. Assigning stamps the lease, marks the unit leased, and works out the expected ownership date from the lease term automatically.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Release from a lease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Records what actually happened to the machine: returned, back in stock, or owned by the customer once paid off. A paid-off unit keeps its lease link so the history stays attached; a returned unit is freed for the next customer.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history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maintenance log per unit — date, work performed, and the staff member who logged it, taken from the signed-in account rather than the form.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 view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Read-only, scoped through the customer's own leases: model, serial number, delivery date, expected ownership date and last service. Internal condition notes and GPS fields never leave the server.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Permissions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equipment route sits behind the equipment tracking permission. Navigation on both portals is gated to match, and the API refuses the request independently of the interface.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guards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serials refused. A unit already on a lease cannot be double-assigned or have its status edited behind the workflow. A unit with lease history cannot be deleted.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screens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Equipment section with fleet counters, serial search and status filters; a unit detail page showing tracking fields, the current holder and the service log; assign and release dialogs.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 numbers, dates and notes are checked as you type and the save button stays disabled until the form is valid — the same behaviour as the customer forms, now applied across the dashboard.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0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 GPS groundwork</w:t>
            </w:r>
          </w:p>
        </w:tc>
        <w:tc>
          <w:tcPr>
            <w:tcW w:type="dxa" w:w="58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GPS device field on every unit and an empty location-history table, ready to receive location pings, geofence status and tamper alerts. Nothing reads or writes them in Phase 1.</w:t>
            </w:r>
          </w:p>
        </w:tc>
        <w:tc>
          <w:tcPr>
            <w:tcW w:type="dxa" w:w="149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 only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Verified, not just built</w:t>
      </w:r>
    </w:p>
    <w:p>
      <w:pPr>
        <w:spacing w:after="120"/>
      </w:pPr>
      <w:r>
        <w:rPr>
          <w:sz w:val="20"/>
          <w:szCs w:val="20"/>
        </w:rPr>
        <w:t xml:space="preserve">Each of the following was run end to end against the live database: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sz w:val="20"/>
          <w:szCs w:val="20"/>
        </w:rPr>
        <w:t xml:space="preserve">A unit is added to inventory, assigned to a live lease, and the ownership date comes out correct from the lease term — a 24-month lease delivered 2 September 2026 returned 2 September 2028.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sz w:val="20"/>
          <w:szCs w:val="20"/>
        </w:rPr>
        <w:t xml:space="preserve">Search finds a machine by serial number alone; status filters and fleet counts match the database.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sz w:val="20"/>
          <w:szCs w:val="20"/>
        </w:rPr>
        <w:t xml:space="preserve">Duplicate serial refused; a leased unit cannot be reassigned or have its status edited behind the workflow; a unit with lease history cannot be deleted.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sz w:val="20"/>
          <w:szCs w:val="20"/>
        </w:rPr>
        <w:t xml:space="preserve">An admin limited to equipment access can do the whole job; an admin without it is refused by the API itself, not merely hidden in the interface.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sz w:val="20"/>
          <w:szCs w:val="20"/>
        </w:rPr>
        <w:t xml:space="preserve">A customer is refused on every admin route, and sees only the machine on their own lease.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sz w:val="20"/>
          <w:szCs w:val="20"/>
        </w:rPr>
        <w:t xml:space="preserve">Service records are logged against the correct unit and attributed to the signed-in staff member.</w:t>
      </w:r>
    </w:p>
    <w:p>
      <w:pPr>
        <w:pStyle w:val="Heading1"/>
        <w:spacing w:after="150" w:before="300"/>
      </w:pPr>
      <w:r>
        <w:rPr>
          <w:b/>
          <w:bCs/>
        </w:rPr>
        <w:t xml:space="preserve">Test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960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admin@outdoorfix.test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Equipment-only admin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restricted.admin@outdoorfix.test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customer@outdoorfix.test</w:t>
            </w:r>
          </w:p>
        </w:tc>
        <w:tc>
          <w:tcPr>
            <w:tcW w:type="dxa" w:w="2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Worth a decision</w:t>
      </w:r>
    </w:p>
    <w:p>
      <w:pPr>
        <w:spacing w:after="120"/>
      </w:pPr>
      <w:r>
        <w:rPr>
          <w:sz w:val="20"/>
          <w:szCs w:val="20"/>
        </w:rPr>
        <w:t xml:space="preserve">Found while testing this milestone end to end. It is not a fault in the work delivered — it is a question about how two earlier pieces should meet, and it needs your call rather than a guess.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b/>
          <w:bCs/>
          <w:sz w:val="20"/>
          <w:szCs w:val="20"/>
        </w:rPr>
        <w:t xml:space="preserve">The application form creates its own machine. </w:t>
      </w:r>
      <w:r>
        <w:rPr>
          <w:sz w:val="20"/>
          <w:szCs w:val="20"/>
        </w:rPr>
        <w:t xml:space="preserve">When an application is submitted, whatever make, model and serial were typed into the form become a brand-new equipment record, instead of picking a machine out of the inventory built in this milestone. Two consequences: the fleet gradually fills with placeholder entries when the serial field is left blank, and the assign step is bypassed because the lease already has a unit attached.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b/>
          <w:bCs/>
          <w:sz w:val="20"/>
          <w:szCs w:val="20"/>
        </w:rPr>
        <w:t xml:space="preserve">Option A — pick from inventory. </w:t>
      </w:r>
      <w:r>
        <w:rPr>
          <w:sz w:val="20"/>
          <w:szCs w:val="20"/>
        </w:rPr>
        <w:t xml:space="preserve">The application form offers the machines already in stock instead of typing a serial. Cleanest result: one record per real machine, and inventory always reflects reality. A little more work, as the form and the service behind it both change.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b/>
          <w:bCs/>
          <w:sz w:val="20"/>
          <w:szCs w:val="20"/>
        </w:rPr>
        <w:t xml:space="preserve">Option B — a swap action. </w:t>
      </w:r>
      <w:r>
        <w:rPr>
          <w:sz w:val="20"/>
          <w:szCs w:val="20"/>
        </w:rPr>
        <w:t xml:space="preserve">The form stays as it is, and the equipment screen gains a swap action that releases the placeholder and assigns the real machine. Faster to deliver, but it leaves a manual step for staff to remember.</w:t>
      </w:r>
    </w:p>
    <w:p>
      <w:pPr>
        <w:ind w:left="200"/>
        <w:spacing w:after="80"/>
      </w:pPr>
      <w:r>
        <w:rPr>
          <w:sz w:val="20"/>
          <w:szCs w:val="20"/>
        </w:rPr>
        <w:t xml:space="preserve">•   </w:t>
      </w:r>
      <w:r>
        <w:rPr>
          <w:b/>
          <w:bCs/>
          <w:sz w:val="20"/>
          <w:szCs w:val="20"/>
        </w:rPr>
        <w:t xml:space="preserve">Recommendation. </w:t>
      </w:r>
      <w:r>
        <w:rPr>
          <w:sz w:val="20"/>
          <w:szCs w:val="20"/>
        </w:rPr>
        <w:t xml:space="preserve">Option A, folded into Milestone 6 when the admin screens are being reworked anyway — no throwaway work, and staff never have to remember a cleanup step.</w:t>
      </w:r>
    </w:p>
    <w:p>
      <w:pPr>
        <w:pStyle w:val="Heading1"/>
        <w:spacing w:after="150" w:before="300"/>
      </w:pPr>
      <w:r>
        <w:rPr>
          <w:b/>
          <w:bCs/>
        </w:rPr>
        <w:t xml:space="preserve">Coming next,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260"/>
            <w:shd w:fill="1B1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Contracts &amp; E-Signature</w:t>
            </w:r>
          </w:p>
        </w:tc>
        <w:tc>
          <w:tcPr>
            <w:tcW w:type="dxa" w:w="5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 signing flow, signed agreement storage, timestamping, admin and customer downloads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Dashboard &amp; Roles</w:t>
            </w:r>
          </w:p>
        </w:tc>
        <w:tc>
          <w:tcPr>
            <w:tcW w:type="dxa" w:w="5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review, override, and reporting views across every module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Accounting Integration</w:t>
            </w:r>
          </w:p>
        </w:tc>
        <w:tc>
          <w:tcPr>
            <w:tcW w:type="dxa" w:w="5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QuickBooks sync for payments, deposits, and reporting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Testing, QA &amp; Launch</w:t>
            </w:r>
          </w:p>
        </w:tc>
        <w:tc>
          <w:tcPr>
            <w:tcW w:type="dxa" w:w="5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pass across every module, then handoff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</w:rPr>
        <w:t xml:space="preserve">Next step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Milestone 5 — Contracts &amp; E-Signature</w:t>
      </w:r>
      <w:r>
        <w:rPr>
          <w:sz w:val="20"/>
          <w:szCs w:val="20"/>
        </w:rPr>
        <w:t xml:space="preserve"> — starts once this milestone is reviewed. The customer signs the lease agreement inside the portal instead of by email or on paper: a built-in signing flow, the signed agreement stored against the lease, a timestamp recording exactly when it was signed, and a download available to both the customer and the admin from that point on. It closes the loop that Milestones 2 to 4 opened — the lease is priced, the customer is verified, the machine is assigned, and this is the step that makes it binding.</w:t>
      </w:r>
    </w:p>
    <w:p>
      <w:pPr>
        <w:spacing w:after="120" w:before="200"/>
      </w:pPr>
      <w:r>
        <w:rPr>
          <w:color w:val="A39B91"/>
          <w:sz w:val="16"/>
          <w:szCs w:val="16"/>
        </w:rPr>
        <w:t xml:space="preserve">Outdoor Fix — Lease to Own Platform · Technical build log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2026-08-25T08:18:52.300Z</dcterms:created>
  <dcterms:modified xsi:type="dcterms:W3CDTF">2026-08-25T08:18:52.301Z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