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05EB8"/>
          <w:sz w:val="44"/>
          <w:szCs w:val="44"/>
        </w:rPr>
        <w:t xml:space="preserve">NHS Readmission Risk Dashboard</w:t>
      </w:r>
    </w:p>
    <w:p>
      <w:pPr>
        <w:spacing w:after="40"/>
      </w:pPr>
      <w:r>
        <w:rPr>
          <w:color w:val="5B6472"/>
          <w:sz w:val="28"/>
          <w:szCs w:val="28"/>
        </w:rPr>
        <w:t xml:space="preserve">A guide for researchers</w:t>
      </w:r>
    </w:p>
    <w:p>
      <w:pPr>
        <w:pBdr>
          <w:bottom w:val="single" w:color="005EB8" w:sz="12"/>
        </w:pBdr>
        <w:spacing w:after="240"/>
      </w:pPr>
    </w:p>
    <w:p>
      <w:pPr>
        <w:spacing w:after="120" w:line="276"/>
      </w:pPr>
      <w:r>
        <w:rPr>
          <w:i w:val="false"/>
          <w:iCs w:val="false"/>
        </w:rPr>
        <w:t xml:space="preserve">This guide explains what the dashboard shows, how to read the risk scores, and how to use each page — no technical background needed. The whole tool runs in your web browser; there is nothing to install and no code to write.</w:t>
      </w:r>
    </w:p>
    <w:p>
      <w:pPr>
        <w:pStyle w:val="Heading1"/>
        <w:spacing w:after="140" w:before="320"/>
      </w:pPr>
      <w:r>
        <w:rPr>
          <w:b/>
          <w:bCs/>
          <w:color w:val="005EB8"/>
        </w:rPr>
        <w:t xml:space="preserve">What this dashboard does</w:t>
      </w:r>
    </w:p>
    <w:p>
      <w:pPr>
        <w:spacing w:after="120" w:line="276"/>
      </w:pPr>
      <w:r>
        <w:t xml:space="preserve">The dashboard helps you see which patients are at higher risk of being readmitted to hospital within 30 days of discharge. It takes a group of patients, scores each one using an established NHS risk method, and lets you explore the results interactively — filtering, sorting, and exporting the patients you care about.</w:t>
      </w:r>
    </w:p>
    <w:p>
      <w:pPr>
        <w:spacing w:after="120" w:line="276"/>
      </w:pPr>
      <w:r>
        <w:t xml:space="preserve">It answers three practical questions: </w:t>
      </w:r>
      <w:r>
        <w:rPr>
          <w:b/>
          <w:bCs/>
        </w:rPr>
        <w:t xml:space="preserve">who </w:t>
      </w:r>
      <w:r>
        <w:t xml:space="preserve">is at risk, </w:t>
      </w:r>
      <w:r>
        <w:rPr>
          <w:b/>
          <w:bCs/>
        </w:rPr>
        <w:t xml:space="preserve">why </w:t>
      </w:r>
      <w:r>
        <w:t xml:space="preserve">they are at risk, and </w:t>
      </w:r>
      <w:r>
        <w:rPr>
          <w:b/>
          <w:bCs/>
        </w:rPr>
        <w:t xml:space="preserve">where </w:t>
      </w:r>
      <w:r>
        <w:t xml:space="preserve">(which conditions and hospitals) risk is concentrated.</w:t>
      </w:r>
    </w:p>
    <w:p>
      <w:pPr>
        <w:pStyle w:val="Heading1"/>
        <w:spacing w:after="140" w:before="320"/>
      </w:pPr>
      <w:r>
        <w:rPr>
          <w:b/>
          <w:bCs/>
          <w:color w:val="005EB8"/>
        </w:rPr>
        <w:t xml:space="preserve">About the data</w:t>
      </w:r>
    </w:p>
    <w:p>
      <w:pPr>
        <w:pStyle w:val="ListParagraph"/>
        <w:numPr>
          <w:ilvl w:val="0"/>
          <w:numId w:val="2"/>
        </w:numPr>
        <w:spacing w:after="60" w:line="268"/>
      </w:pPr>
      <w:r>
        <w:rPr>
          <w:b/>
          <w:bCs/>
        </w:rPr>
        <w:t xml:space="preserve">Synthetic data. </w:t>
      </w:r>
      <w:r>
        <w:t xml:space="preserve">Every patient record is artificial — there are no real patient details, so the data is completely safe to open, share, and explore.</w:t>
      </w:r>
    </w:p>
    <w:p>
      <w:pPr>
        <w:pStyle w:val="ListParagraph"/>
        <w:numPr>
          <w:ilvl w:val="0"/>
          <w:numId w:val="2"/>
        </w:numPr>
        <w:spacing w:after="60" w:line="268"/>
      </w:pPr>
      <w:r>
        <w:rPr>
          <w:b/>
          <w:bCs/>
        </w:rPr>
        <w:t xml:space="preserve">10,000 hospital episodes. </w:t>
      </w:r>
      <w:r>
        <w:t xml:space="preserve">Each row is one patient's hospital stay, with their age, main diagnosis, length of stay, number of medications, and similar details.</w:t>
      </w:r>
    </w:p>
    <w:p>
      <w:pPr>
        <w:pStyle w:val="ListParagraph"/>
        <w:numPr>
          <w:ilvl w:val="0"/>
          <w:numId w:val="2"/>
        </w:numPr>
        <w:spacing w:after="60" w:line="268"/>
      </w:pPr>
      <w:r>
        <w:rPr>
          <w:b/>
          <w:bCs/>
        </w:rPr>
        <w:t xml:space="preserve">10 common conditions across 7 hospitals, </w:t>
      </w:r>
      <w:r>
        <w:t xml:space="preserve">so you can compare patterns by disease and by site.</w:t>
      </w:r>
    </w:p>
    <w:p>
      <w:pPr>
        <w:pStyle w:val="Heading1"/>
        <w:spacing w:after="140" w:before="320"/>
      </w:pPr>
      <w:r>
        <w:rPr>
          <w:b/>
          <w:bCs/>
          <w:color w:val="005EB8"/>
        </w:rPr>
        <w:t xml:space="preserve">How risk is measured: the LACE score</w:t>
      </w:r>
    </w:p>
    <w:p>
      <w:pPr>
        <w:spacing w:after="120" w:line="276"/>
      </w:pPr>
      <w:r>
        <w:t xml:space="preserve">Each patient is given a </w:t>
      </w:r>
      <w:r>
        <w:rPr>
          <w:b/>
          <w:bCs/>
        </w:rPr>
        <w:t xml:space="preserve">LACE score</w:t>
      </w:r>
      <w:r>
        <w:t xml:space="preserve"> — a well-known method used across the NHS to estimate readmission risk. It simply adds up points for four things about the patient:</w:t>
      </w:r>
    </w:p>
    <w:p>
      <w:pPr>
        <w:pStyle w:val="ListParagraph"/>
        <w:numPr>
          <w:ilvl w:val="0"/>
          <w:numId w:val="2"/>
        </w:numPr>
        <w:spacing w:after="60" w:line="268"/>
      </w:pPr>
      <w:r>
        <w:rPr>
          <w:b/>
          <w:bCs/>
        </w:rPr>
        <w:t xml:space="preserve">L — Length of stay: </w:t>
      </w:r>
      <w:r>
        <w:t xml:space="preserve">longer hospital stays score more points.</w:t>
      </w:r>
    </w:p>
    <w:p>
      <w:pPr>
        <w:pStyle w:val="ListParagraph"/>
        <w:numPr>
          <w:ilvl w:val="0"/>
          <w:numId w:val="2"/>
        </w:numPr>
        <w:spacing w:after="60" w:line="268"/>
      </w:pPr>
      <w:r>
        <w:rPr>
          <w:b/>
          <w:bCs/>
        </w:rPr>
        <w:t xml:space="preserve">A — Acute admission: </w:t>
      </w:r>
      <w:r>
        <w:t xml:space="preserve">unplanned emergency or urgent admissions score more.</w:t>
      </w:r>
    </w:p>
    <w:p>
      <w:pPr>
        <w:pStyle w:val="ListParagraph"/>
        <w:numPr>
          <w:ilvl w:val="0"/>
          <w:numId w:val="2"/>
        </w:numPr>
        <w:spacing w:after="60" w:line="268"/>
      </w:pPr>
      <w:r>
        <w:rPr>
          <w:b/>
          <w:bCs/>
        </w:rPr>
        <w:t xml:space="preserve">C — Comorbidity: </w:t>
      </w:r>
      <w:r>
        <w:t xml:space="preserve">having other long-term health conditions adds points.</w:t>
      </w:r>
    </w:p>
    <w:p>
      <w:pPr>
        <w:pStyle w:val="ListParagraph"/>
        <w:numPr>
          <w:ilvl w:val="0"/>
          <w:numId w:val="2"/>
        </w:numPr>
        <w:spacing w:after="60" w:line="268"/>
      </w:pPr>
      <w:r>
        <w:rPr>
          <w:b/>
          <w:bCs/>
        </w:rPr>
        <w:t xml:space="preserve">E — Emergency admissions before: </w:t>
      </w:r>
      <w:r>
        <w:t xml:space="preserve">a history of emergency admissions is the strongest signal.</w:t>
      </w:r>
    </w:p>
    <w:p>
      <w:pPr>
        <w:spacing w:after="120" w:line="276"/>
      </w:pPr>
      <w:r>
        <w:t xml:space="preserve">The four parts add up to a total between </w:t>
      </w:r>
      <w:r>
        <w:rPr>
          <w:b/>
          <w:bCs/>
        </w:rPr>
        <w:t xml:space="preserve">0 and 19</w:t>
      </w:r>
      <w:r>
        <w:t xml:space="preserve">. The higher the number, the higher the risk. Patients are then grouped into three tiers: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00"/>
      </w:tblGrid>
      <w:tr>
        <w:trPr>
          <w:tblHeader/>
        </w:trPr>
        <w:tc>
          <w:tcPr>
            <w:tcW w:type="dxa" w:w="2600"/>
            <w:shd w:fill="005EB8" w:color="auto" w:val="clear"/>
            <w:tcMar>
              <w:top w:type="dxa" w:w="60"/>
              <w:left w:type="dxa" w:w="120"/>
              <w:bottom w:type="dxa" w:w="60"/>
              <w:right w:type="dxa" w:w="120"/>
            </w:tcMar>
          </w:tcPr>
          <w:p>
            <w:r>
              <w:rPr>
                <w:b/>
                <w:bCs/>
                <w:color w:val="FFFFFF"/>
                <w:sz w:val="20"/>
                <w:szCs w:val="20"/>
              </w:rPr>
              <w:t xml:space="preserve">Risk tier</w:t>
            </w:r>
          </w:p>
        </w:tc>
        <w:tc>
          <w:tcPr>
            <w:tcW w:type="dxa" w:w="2000"/>
            <w:shd w:fill="005EB8" w:color="auto" w:val="clear"/>
            <w:tcMar>
              <w:top w:type="dxa" w:w="60"/>
              <w:left w:type="dxa" w:w="120"/>
              <w:bottom w:type="dxa" w:w="60"/>
              <w:right w:type="dxa" w:w="120"/>
            </w:tcMar>
          </w:tcPr>
          <w:p>
            <w:r>
              <w:rPr>
                <w:b/>
                <w:bCs/>
                <w:color w:val="FFFFFF"/>
                <w:sz w:val="20"/>
                <w:szCs w:val="20"/>
              </w:rPr>
              <w:t xml:space="preserve">LACE score</w:t>
            </w:r>
          </w:p>
        </w:tc>
        <w:tc>
          <w:tcPr>
            <w:tcW w:type="dxa" w:w="4400"/>
            <w:shd w:fill="005EB8" w:color="auto" w:val="clear"/>
            <w:tcMar>
              <w:top w:type="dxa" w:w="60"/>
              <w:left w:type="dxa" w:w="120"/>
              <w:bottom w:type="dxa" w:w="60"/>
              <w:right w:type="dxa" w:w="120"/>
            </w:tcMar>
          </w:tcPr>
          <w:p>
            <w:r>
              <w:rPr>
                <w:b/>
                <w:bCs/>
                <w:color w:val="FFFFFF"/>
                <w:sz w:val="20"/>
                <w:szCs w:val="20"/>
              </w:rPr>
              <w:t xml:space="preserve">What it means</w:t>
            </w:r>
          </w:p>
        </w:tc>
      </w:tr>
      <w:tr>
        <w:tc>
          <w:tcPr>
            <w:tcW w:type="dxa" w:w="2600"/>
            <w:tcMar>
              <w:top w:type="dxa" w:w="60"/>
              <w:left w:type="dxa" w:w="120"/>
              <w:bottom w:type="dxa" w:w="60"/>
              <w:right w:type="dxa" w:w="120"/>
            </w:tcMar>
          </w:tcPr>
          <w:p>
            <w:r>
              <w:rPr>
                <w:b w:val="false"/>
                <w:bCs w:val="false"/>
                <w:color w:val="007F3B"/>
                <w:sz w:val="20"/>
                <w:szCs w:val="20"/>
              </w:rPr>
              <w:t xml:space="preserve">Low</w:t>
            </w:r>
          </w:p>
        </w:tc>
        <w:tc>
          <w:tcPr>
            <w:tcW w:type="dxa" w:w="2000"/>
            <w:tcMar>
              <w:top w:type="dxa" w:w="60"/>
              <w:left w:type="dxa" w:w="120"/>
              <w:bottom w:type="dxa" w:w="60"/>
              <w:right w:type="dxa" w:w="120"/>
            </w:tcMar>
          </w:tcPr>
          <w:p>
            <w:r>
              <w:rPr>
                <w:b w:val="false"/>
                <w:bCs w:val="false"/>
                <w:color w:val="212B32"/>
                <w:sz w:val="20"/>
                <w:szCs w:val="20"/>
              </w:rPr>
              <w:t xml:space="preserve">0 – 4</w:t>
            </w:r>
          </w:p>
        </w:tc>
        <w:tc>
          <w:tcPr>
            <w:tcW w:type="dxa" w:w="4400"/>
            <w:tcMar>
              <w:top w:type="dxa" w:w="60"/>
              <w:left w:type="dxa" w:w="120"/>
              <w:bottom w:type="dxa" w:w="60"/>
              <w:right w:type="dxa" w:w="120"/>
            </w:tcMar>
          </w:tcPr>
          <w:p>
            <w:r>
              <w:rPr>
                <w:b w:val="false"/>
                <w:bCs w:val="false"/>
                <w:color w:val="212B32"/>
                <w:sz w:val="20"/>
                <w:szCs w:val="20"/>
              </w:rPr>
              <w:t xml:space="preserve">Lower likelihood of readmission — routine follow-up.</w:t>
            </w:r>
          </w:p>
        </w:tc>
      </w:tr>
      <w:tr>
        <w:tc>
          <w:tcPr>
            <w:tcW w:type="dxa" w:w="2600"/>
            <w:tcMar>
              <w:top w:type="dxa" w:w="60"/>
              <w:left w:type="dxa" w:w="120"/>
              <w:bottom w:type="dxa" w:w="60"/>
              <w:right w:type="dxa" w:w="120"/>
            </w:tcMar>
          </w:tcPr>
          <w:p>
            <w:r>
              <w:rPr>
                <w:b w:val="false"/>
                <w:bCs w:val="false"/>
                <w:color w:val="B46A00"/>
                <w:sz w:val="20"/>
                <w:szCs w:val="20"/>
              </w:rPr>
              <w:t xml:space="preserve">Moderate</w:t>
            </w:r>
          </w:p>
        </w:tc>
        <w:tc>
          <w:tcPr>
            <w:tcW w:type="dxa" w:w="2000"/>
            <w:tcMar>
              <w:top w:type="dxa" w:w="60"/>
              <w:left w:type="dxa" w:w="120"/>
              <w:bottom w:type="dxa" w:w="60"/>
              <w:right w:type="dxa" w:w="120"/>
            </w:tcMar>
          </w:tcPr>
          <w:p>
            <w:r>
              <w:rPr>
                <w:b w:val="false"/>
                <w:bCs w:val="false"/>
                <w:color w:val="212B32"/>
                <w:sz w:val="20"/>
                <w:szCs w:val="20"/>
              </w:rPr>
              <w:t xml:space="preserve">5 – 9</w:t>
            </w:r>
          </w:p>
        </w:tc>
        <w:tc>
          <w:tcPr>
            <w:tcW w:type="dxa" w:w="4400"/>
            <w:tcMar>
              <w:top w:type="dxa" w:w="60"/>
              <w:left w:type="dxa" w:w="120"/>
              <w:bottom w:type="dxa" w:w="60"/>
              <w:right w:type="dxa" w:w="120"/>
            </w:tcMar>
          </w:tcPr>
          <w:p>
            <w:r>
              <w:rPr>
                <w:b w:val="false"/>
                <w:bCs w:val="false"/>
                <w:color w:val="212B32"/>
                <w:sz w:val="20"/>
                <w:szCs w:val="20"/>
              </w:rPr>
              <w:t xml:space="preserve">Some risk factors present — worth keeping an eye on.</w:t>
            </w:r>
          </w:p>
        </w:tc>
      </w:tr>
      <w:tr>
        <w:tc>
          <w:tcPr>
            <w:tcW w:type="dxa" w:w="2600"/>
            <w:tcMar>
              <w:top w:type="dxa" w:w="60"/>
              <w:left w:type="dxa" w:w="120"/>
              <w:bottom w:type="dxa" w:w="60"/>
              <w:right w:type="dxa" w:w="120"/>
            </w:tcMar>
          </w:tcPr>
          <w:p>
            <w:r>
              <w:rPr>
                <w:b w:val="false"/>
                <w:bCs w:val="false"/>
                <w:color w:val="D5281B"/>
                <w:sz w:val="20"/>
                <w:szCs w:val="20"/>
              </w:rPr>
              <w:t xml:space="preserve">High</w:t>
            </w:r>
          </w:p>
        </w:tc>
        <w:tc>
          <w:tcPr>
            <w:tcW w:type="dxa" w:w="2000"/>
            <w:tcMar>
              <w:top w:type="dxa" w:w="60"/>
              <w:left w:type="dxa" w:w="120"/>
              <w:bottom w:type="dxa" w:w="60"/>
              <w:right w:type="dxa" w:w="120"/>
            </w:tcMar>
          </w:tcPr>
          <w:p>
            <w:r>
              <w:rPr>
                <w:b w:val="false"/>
                <w:bCs w:val="false"/>
                <w:color w:val="212B32"/>
                <w:sz w:val="20"/>
                <w:szCs w:val="20"/>
              </w:rPr>
              <w:t xml:space="preserve">10 or more</w:t>
            </w:r>
          </w:p>
        </w:tc>
        <w:tc>
          <w:tcPr>
            <w:tcW w:type="dxa" w:w="4400"/>
            <w:tcMar>
              <w:top w:type="dxa" w:w="60"/>
              <w:left w:type="dxa" w:w="120"/>
              <w:bottom w:type="dxa" w:w="60"/>
              <w:right w:type="dxa" w:w="120"/>
            </w:tcMar>
          </w:tcPr>
          <w:p>
            <w:r>
              <w:rPr>
                <w:b w:val="false"/>
                <w:bCs w:val="false"/>
                <w:color w:val="212B32"/>
                <w:sz w:val="20"/>
                <w:szCs w:val="20"/>
              </w:rPr>
              <w:t xml:space="preserve">Several risk factors — candidates for proactive follow-up.</w:t>
            </w:r>
          </w:p>
        </w:tc>
      </w:tr>
    </w:tbl>
    <w:p>
      <w:pPr>
        <w:spacing w:after="120" w:before="160"/>
      </w:pPr>
      <w:r>
        <w:rPr>
          <w:b/>
          <w:bCs/>
        </w:rPr>
        <w:t xml:space="preserve">Why LACE and not an AI model? </w:t>
      </w:r>
      <w:r>
        <w:t xml:space="preserve">LACE is transparent — every point can be explained to a clinician, and you can always see exactly why a patient scored the way they did. It is a validated method from published clinical research, not a black box.</w:t>
      </w:r>
    </w:p>
    <w:p>
      <w:pPr>
        <w:pStyle w:val="Heading1"/>
        <w:spacing w:after="140" w:before="320"/>
      </w:pPr>
      <w:r>
        <w:rPr>
          <w:b/>
          <w:bCs/>
          <w:color w:val="005EB8"/>
        </w:rPr>
        <w:t xml:space="preserve">A tour of the four pages</w:t>
      </w:r>
    </w:p>
    <w:p>
      <w:pPr>
        <w:spacing w:after="120" w:line="276"/>
      </w:pPr>
      <w:r>
        <w:t xml:space="preserve">You move between pages using the menu on the left.</w:t>
      </w:r>
    </w:p>
    <w:p>
      <w:pPr>
        <w:pStyle w:val="Heading2"/>
        <w:spacing w:after="90" w:before="220"/>
      </w:pPr>
      <w:r>
        <w:rPr>
          <w:b/>
          <w:bCs/>
          <w:color w:val="212B32"/>
        </w:rPr>
        <w:t xml:space="preserve">1. Overview — the big picture</w:t>
      </w:r>
    </w:p>
    <w:p>
      <w:pPr>
        <w:spacing w:after="120" w:line="276"/>
      </w:pPr>
      <w:r>
        <w:t xml:space="preserve">Start here. The cards along the top summarise the whole group: total patients, how many are high-risk, the average LACE score, and more. Below, a ring chart shows the split between Low, Moderate and High risk, and a bar chart shows admissions by age group. A live feed shows patients arriving one at a time.</w:t>
      </w:r>
    </w:p>
    <w:p>
      <w:pPr>
        <w:spacing w:after="140"/>
      </w:pPr>
      <w:r>
        <w:rPr>
          <w:b/>
          <w:bCs/>
        </w:rPr>
        <w:t xml:space="preserve">What to look for: </w:t>
      </w:r>
      <w:r>
        <w:t xml:space="preserve">the overall size of the High-risk group, and whether risk skews towards older age bands.</w:t>
      </w:r>
    </w:p>
    <w:p>
      <w:pPr>
        <w:pStyle w:val="Heading2"/>
        <w:spacing w:after="90" w:before="220"/>
      </w:pPr>
      <w:r>
        <w:rPr>
          <w:b/>
          <w:bCs/>
          <w:color w:val="212B32"/>
        </w:rPr>
        <w:t xml:space="preserve">2. Conditions — by disease and hospital</w:t>
      </w:r>
    </w:p>
    <w:p>
      <w:pPr>
        <w:spacing w:after="120" w:line="276"/>
      </w:pPr>
      <w:r>
        <w:t xml:space="preserve">This page breaks the group down by diagnosis (for example Type 2 diabetes, asthma, heart disease) and by hospital. You can see which conditions bring in the most patients, which carry the highest average risk, and how the seven hospitals compare.</w:t>
      </w:r>
    </w:p>
    <w:p>
      <w:pPr>
        <w:spacing w:after="140"/>
      </w:pPr>
      <w:r>
        <w:rPr>
          <w:b/>
          <w:bCs/>
        </w:rPr>
        <w:t xml:space="preserve">What to look for: </w:t>
      </w:r>
      <w:r>
        <w:t xml:space="preserve">conditions or hospitals with an unusually high average LACE score or a high share of high-risk patients.</w:t>
      </w:r>
    </w:p>
    <w:p>
      <w:pPr>
        <w:pStyle w:val="Heading2"/>
        <w:spacing w:after="90" w:before="220"/>
      </w:pPr>
      <w:r>
        <w:rPr>
          <w:b/>
          <w:bCs/>
          <w:color w:val="212B32"/>
        </w:rPr>
        <w:t xml:space="preserve">3. Risk stratification — finding and explaining at-risk patients</w:t>
      </w:r>
    </w:p>
    <w:p>
      <w:pPr>
        <w:spacing w:after="120" w:line="276"/>
      </w:pPr>
      <w:r>
        <w:t xml:space="preserve">This is the working page. Use the filters on the left to narrow to the patients you care about (by risk tier, age band, or condition). You can then:</w:t>
      </w:r>
    </w:p>
    <w:p>
      <w:pPr>
        <w:pStyle w:val="ListParagraph"/>
        <w:numPr>
          <w:ilvl w:val="0"/>
          <w:numId w:val="2"/>
        </w:numPr>
        <w:spacing w:after="60" w:line="268"/>
      </w:pPr>
      <w:r>
        <w:t xml:space="preserve">See how risk is distributed and which factors are driving it across your selection.</w:t>
      </w:r>
    </w:p>
    <w:p>
      <w:pPr>
        <w:pStyle w:val="ListParagraph"/>
        <w:numPr>
          <w:ilvl w:val="0"/>
          <w:numId w:val="2"/>
        </w:numPr>
        <w:spacing w:after="60" w:line="268"/>
      </w:pPr>
      <w:r>
        <w:t xml:space="preserve">Pick a single patient to see their exact LACE breakdown — how many points came from length of stay, admission type, comorbidity, and prior admissions.</w:t>
      </w:r>
    </w:p>
    <w:p>
      <w:pPr>
        <w:pStyle w:val="ListParagraph"/>
        <w:numPr>
          <w:ilvl w:val="0"/>
          <w:numId w:val="2"/>
        </w:numPr>
        <w:spacing w:after="60" w:line="268"/>
      </w:pPr>
      <w:r>
        <w:t xml:space="preserve">Download the filtered list of patients as a spreadsheet (CSV) for your own analysis or follow-up.</w:t>
      </w:r>
    </w:p>
    <w:p>
      <w:pPr>
        <w:spacing w:after="140"/>
      </w:pPr>
      <w:r>
        <w:rPr>
          <w:b/>
          <w:bCs/>
        </w:rPr>
        <w:t xml:space="preserve">What to look for: </w:t>
      </w:r>
      <w:r>
        <w:t xml:space="preserve">filter to High risk, then export the list — these are the patients most likely to benefit from proactive follow-up.</w:t>
      </w:r>
    </w:p>
    <w:p>
      <w:pPr>
        <w:pStyle w:val="Heading2"/>
        <w:spacing w:after="90" w:before="220"/>
      </w:pPr>
      <w:r>
        <w:rPr>
          <w:b/>
          <w:bCs/>
          <w:color w:val="212B32"/>
        </w:rPr>
        <w:t xml:space="preserve">4. Methodology — how it works and why to trust it</w:t>
      </w:r>
    </w:p>
    <w:p>
      <w:pPr>
        <w:spacing w:after="120" w:line="276"/>
      </w:pPr>
      <w:r>
        <w:t xml:space="preserve">This page documents the LACE method, the points behind each component, and an honest note on the data. It is there so you (and anyone you share results with) can see exactly how the scores were produced.</w:t>
      </w:r>
    </w:p>
    <w:p>
      <w:pPr>
        <w:pStyle w:val="Heading1"/>
        <w:spacing w:after="140" w:before="320"/>
      </w:pPr>
      <w:r>
        <w:rPr>
          <w:b/>
          <w:bCs/>
          <w:color w:val="005EB8"/>
        </w:rPr>
        <w:t xml:space="preserve">Reading a single patient's score</w:t>
      </w:r>
    </w:p>
    <w:p>
      <w:pPr>
        <w:spacing w:after="120" w:line="276"/>
      </w:pPr>
      <w:r>
        <w:t xml:space="preserve">On the Risk stratification page, choose a patient from the dropdown. You will see their total LACE score, their risk tier as a coloured label, and a small bar chart showing how each of the four factors contributed. For example, a patient might score 11 (High) mostly because of a long stay and several previous emergency admissions — and the chart makes that reason visible at a glance.</w:t>
      </w:r>
    </w:p>
    <w:p>
      <w:pPr>
        <w:pStyle w:val="Heading1"/>
        <w:spacing w:after="140" w:before="320"/>
      </w:pPr>
      <w:r>
        <w:rPr>
          <w:b/>
          <w:bCs/>
          <w:color w:val="005EB8"/>
        </w:rPr>
        <w:t xml:space="preserve">An honest note on accuracy</w:t>
      </w:r>
    </w:p>
    <w:p>
      <w:pPr>
        <w:spacing w:after="120" w:line="276"/>
      </w:pPr>
      <w:r>
        <w:t xml:space="preserve">Because this demonstration uses synthetic data, the recorded readmission outcomes are random and cannot be used to prove the scores are accurate. That is exactly why the dashboard uses LACE — a method already validated in real clinical studies — rather than training an AI model on data that contains no genuine signal. Applied to real patient data, the same dashboard would produce clinically meaningful risk scores.</w:t>
      </w:r>
    </w:p>
    <w:p>
      <w:pPr>
        <w:pStyle w:val="Heading1"/>
        <w:spacing w:after="140" w:before="320"/>
      </w:pPr>
      <w:r>
        <w:rPr>
          <w:b/>
          <w:bCs/>
          <w:color w:val="005EB8"/>
        </w:rPr>
        <w:t xml:space="preserve">Getting access</w:t>
      </w:r>
    </w:p>
    <w:p>
      <w:pPr>
        <w:pStyle w:val="ListParagraph"/>
        <w:numPr>
          <w:ilvl w:val="0"/>
          <w:numId w:val="2"/>
        </w:numPr>
        <w:spacing w:after="60" w:line="268"/>
      </w:pPr>
      <w:r>
        <w:rPr>
          <w:b/>
          <w:bCs/>
        </w:rPr>
        <w:t xml:space="preserve">Web link: </w:t>
      </w:r>
      <w:r>
        <w:t xml:space="preserve">if the dashboard has been published online, simply open the link in any browser — nothing to install.</w:t>
      </w:r>
    </w:p>
    <w:p>
      <w:pPr>
        <w:pStyle w:val="ListParagraph"/>
        <w:numPr>
          <w:ilvl w:val="0"/>
          <w:numId w:val="2"/>
        </w:numPr>
        <w:spacing w:after="60" w:line="268"/>
      </w:pPr>
      <w:r>
        <w:rPr>
          <w:b/>
          <w:bCs/>
        </w:rPr>
        <w:t xml:space="preserve">Run locally: </w:t>
      </w:r>
      <w:r>
        <w:t xml:space="preserve">ask the project owner to start it on your machine; it opens in your browser at a local address.</w:t>
      </w:r>
    </w:p>
    <w:p>
      <w:pPr>
        <w:pStyle w:val="ListParagraph"/>
        <w:numPr>
          <w:ilvl w:val="0"/>
          <w:numId w:val="2"/>
        </w:numPr>
        <w:spacing w:after="60" w:line="268"/>
      </w:pPr>
      <w:r>
        <w:rPr>
          <w:b/>
          <w:bCs/>
        </w:rPr>
        <w:t xml:space="preserve">Just the results: </w:t>
      </w:r>
      <w:r>
        <w:t xml:space="preserve">if you only need the numbers, use the CSV export on the Risk stratification page.</w:t>
      </w:r>
    </w:p>
    <w:p>
      <w:pPr>
        <w:pBdr>
          <w:top w:val="single" w:color="D9DEE6" w:sz="8"/>
        </w:pBdr>
        <w:spacing w:before="260"/>
      </w:pPr>
      <w:r>
        <w:rPr>
          <w:i/>
          <w:iCs/>
          <w:color w:val="5B6472"/>
          <w:sz w:val="20"/>
          <w:szCs w:val="20"/>
        </w:rPr>
        <w:t xml:space="preserve">Questions about the dashboard or the risk method can be directed to the project owner.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005EB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B3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rPr>
      <w:rFonts w:ascii="Calibri" w:cs="Calibri" w:eastAsia="Calibri" w:hAnsi="Calibri"/>
      <w:b/>
      <w:bCs/>
      <w:color w:val="005EB8"/>
      <w:sz w:val="30"/>
      <w:szCs w:val="30"/>
    </w:rPr>
  </w:style>
  <w:style w:type="paragraph" w:styleId="Heading2">
    <w:name w:val="Heading 2"/>
    <w:basedOn w:val="Normal"/>
    <w:qFormat/>
    <w:rPr>
      <w:rFonts w:ascii="Calibri" w:cs="Calibri" w:eastAsia="Calibri" w:hAnsi="Calibri"/>
      <w:b/>
      <w:bCs/>
      <w:color w:val="212B3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2026-07-22T23:26:10.950Z</dcterms:created>
  <dcterms:modified xsi:type="dcterms:W3CDTF">2026-07-22T23:26:10.951Z</dcterms:modified>
</cp:coreProperties>
</file>

<file path=docProps/custom.xml><?xml version="1.0" encoding="utf-8"?>
<Properties xmlns="http://schemas.openxmlformats.org/officeDocument/2006/custom-properties" xmlns:vt="http://schemas.openxmlformats.org/officeDocument/2006/docPropsVTypes"/>
</file>