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581"/>
        <w:gridCol w:w="93"/>
        <w:gridCol w:w="728"/>
        <w:gridCol w:w="729"/>
        <w:gridCol w:w="1458"/>
        <w:gridCol w:w="1457"/>
        <w:gridCol w:w="729"/>
        <w:gridCol w:w="77"/>
        <w:gridCol w:w="652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8748" w:type="dxa"/>
            <w:gridSpan w:val="11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44"/>
                <w:szCs w:val="44"/>
              </w:rPr>
            </w:pPr>
            <w:r>
              <w:rPr>
                <w:rFonts w:hint="eastAsia" w:ascii="宋体" w:hAnsi="宋体"/>
                <w:sz w:val="44"/>
                <w:szCs w:val="44"/>
              </w:rPr>
              <w:t>管理评审计划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ascii="楷体_GB2312" w:eastAsia="宋体"/>
                <w:szCs w:val="21"/>
                <w:lang w:eastAsia="zh-CN"/>
              </w:rPr>
            </w:pPr>
            <w:r>
              <w:rPr>
                <w:rFonts w:hint="eastAsia"/>
                <w:sz w:val="24"/>
              </w:rPr>
              <w:t>编号；__企业代码__-__行政部门代码__-2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183" w:type="dxa"/>
            <w:gridSpan w:val="4"/>
            <w:tcBorders>
              <w:top w:val="double" w:color="auto" w:sz="6" w:space="0"/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评审时间</w:t>
            </w:r>
          </w:p>
        </w:tc>
        <w:tc>
          <w:tcPr>
            <w:tcW w:w="2187" w:type="dxa"/>
            <w:gridSpan w:val="2"/>
            <w:tcBorders>
              <w:top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楷体_GB2312" w:eastAsia="楷体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sz w:val="24"/>
                <w:lang w:eastAsia="zh-CN"/>
              </w:rPr>
              <w:t>__管评日期__</w:t>
            </w:r>
          </w:p>
        </w:tc>
        <w:tc>
          <w:tcPr>
            <w:tcW w:w="2186" w:type="dxa"/>
            <w:gridSpan w:val="2"/>
            <w:tcBorders>
              <w:top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评审地点</w:t>
            </w:r>
          </w:p>
        </w:tc>
        <w:tc>
          <w:tcPr>
            <w:tcW w:w="2192" w:type="dxa"/>
            <w:gridSpan w:val="3"/>
            <w:tcBorders>
              <w:top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  <w:jc w:val="center"/>
        </w:trPr>
        <w:tc>
          <w:tcPr>
            <w:tcW w:w="1362" w:type="dxa"/>
            <w:gridSpan w:val="2"/>
            <w:tcBorders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评审人员</w:t>
            </w:r>
          </w:p>
        </w:tc>
        <w:tc>
          <w:tcPr>
            <w:tcW w:w="7386" w:type="dxa"/>
            <w:gridSpan w:val="9"/>
            <w:tcBorders>
              <w:righ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仿宋_GB2312" w:hAnsi="宋体" w:eastAsia="仿宋_GB2312"/>
                <w:szCs w:val="24"/>
              </w:rPr>
              <w:t>最高管理层、各部门主管和相关人员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362" w:type="dxa"/>
            <w:gridSpan w:val="2"/>
            <w:tcBorders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评审目的</w:t>
            </w:r>
          </w:p>
        </w:tc>
        <w:tc>
          <w:tcPr>
            <w:tcW w:w="7386" w:type="dxa"/>
            <w:gridSpan w:val="9"/>
            <w:tcBorders>
              <w:right w:val="double" w:color="auto" w:sz="6" w:space="0"/>
            </w:tcBorders>
            <w:noWrap w:val="0"/>
            <w:vAlign w:val="center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ascii="仿宋_GB2312" w:hAnsi="宋体" w:eastAsia="仿宋_GB2312"/>
                <w:szCs w:val="24"/>
              </w:rPr>
              <w:t>验证公司管理体系的适应性、有效性和充分性，确保管理体系满足标准要求和实现公司管理方针、目标。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8748" w:type="dxa"/>
            <w:gridSpan w:val="11"/>
            <w:tcBorders>
              <w:left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评审项目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  <w:jc w:val="center"/>
        </w:trPr>
        <w:tc>
          <w:tcPr>
            <w:tcW w:w="781" w:type="dxa"/>
            <w:tcBorders>
              <w:top w:val="double" w:color="auto" w:sz="4" w:space="0"/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序号</w:t>
            </w:r>
          </w:p>
        </w:tc>
        <w:tc>
          <w:tcPr>
            <w:tcW w:w="5852" w:type="dxa"/>
            <w:gridSpan w:val="8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评审内容</w:t>
            </w:r>
          </w:p>
        </w:tc>
        <w:tc>
          <w:tcPr>
            <w:tcW w:w="2115" w:type="dxa"/>
            <w:gridSpan w:val="2"/>
            <w:tcBorders>
              <w:top w:val="double" w:color="auto" w:sz="4" w:space="0"/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责任部门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1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管理体系内部审核报告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管理者代表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2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color w:val="FF0000"/>
                <w:spacing w:val="8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管理体系运行状况报告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管理者代表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3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合规性评价报告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__行政部门__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4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与管理体系相关的内外部因素的影响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管理者代表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5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应对风险和机遇所采取的措施的有效性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__行政部门__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6</w:t>
            </w:r>
          </w:p>
        </w:tc>
        <w:tc>
          <w:tcPr>
            <w:tcW w:w="5852" w:type="dxa"/>
            <w:gridSpan w:val="8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相关方的反馈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__行政部门__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7</w:t>
            </w:r>
          </w:p>
        </w:tc>
        <w:tc>
          <w:tcPr>
            <w:tcW w:w="5852" w:type="dxa"/>
            <w:gridSpan w:val="8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关于顾客满意度调查情况的报告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__销售部门__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8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资源的充分性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管理者代表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top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9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8"/>
                <w:szCs w:val="21"/>
              </w:rPr>
              <w:t>《环境目标、指标和管理方案》和《职业健康安全目标和管理方案》的建立与实施情况的报告及过程业绩测量报告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管理者代表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10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pacing w:val="8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纠正、预防措施实施情况报告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__质检部门__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11</w:t>
            </w:r>
          </w:p>
        </w:tc>
        <w:tc>
          <w:tcPr>
            <w:tcW w:w="5852" w:type="dxa"/>
            <w:gridSpan w:val="8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管评报告</w:t>
            </w:r>
          </w:p>
        </w:tc>
        <w:tc>
          <w:tcPr>
            <w:tcW w:w="2115" w:type="dxa"/>
            <w:gridSpan w:val="2"/>
            <w:tcBorders>
              <w:left w:val="single" w:color="auto" w:sz="4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12</w:t>
            </w: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改进建议</w:t>
            </w: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ind w:firstLine="678" w:firstLineChars="300"/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ind w:firstLine="678" w:firstLineChars="300"/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ind w:firstLine="678" w:firstLineChars="300"/>
              <w:rPr>
                <w:rFonts w:hint="eastAsia" w:ascii="宋体" w:hAnsi="宋体"/>
                <w:color w:val="000000"/>
                <w:spacing w:val="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rPr>
                <w:rFonts w:hint="eastAsia" w:ascii="楷体_GB2312" w:eastAsia="楷体_GB2312"/>
                <w:szCs w:val="21"/>
              </w:rPr>
            </w:pPr>
          </w:p>
        </w:tc>
        <w:tc>
          <w:tcPr>
            <w:tcW w:w="5852" w:type="dxa"/>
            <w:gridSpan w:val="8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115" w:type="dxa"/>
            <w:gridSpan w:val="2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8748" w:type="dxa"/>
            <w:gridSpan w:val="11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评审资料要求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1</w:t>
            </w:r>
          </w:p>
        </w:tc>
        <w:tc>
          <w:tcPr>
            <w:tcW w:w="7967" w:type="dxa"/>
            <w:gridSpan w:val="10"/>
            <w:tcBorders>
              <w:right w:val="doub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所有责任部门/人员务必按有关要求积极负责准备必要的资料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81" w:type="dxa"/>
            <w:tcBorders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2</w:t>
            </w:r>
          </w:p>
        </w:tc>
        <w:tc>
          <w:tcPr>
            <w:tcW w:w="7967" w:type="dxa"/>
            <w:gridSpan w:val="10"/>
            <w:tcBorders>
              <w:right w:val="doub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所有资料中能够用数据说明的应尽量使用数据说明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455" w:type="dxa"/>
            <w:gridSpan w:val="3"/>
            <w:tcBorders>
              <w:lef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编制</w:t>
            </w:r>
          </w:p>
        </w:tc>
        <w:tc>
          <w:tcPr>
            <w:tcW w:w="14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__行政负责人__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审核</w:t>
            </w:r>
          </w:p>
        </w:tc>
        <w:tc>
          <w:tcPr>
            <w:tcW w:w="1457" w:type="dxa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  <w:lang w:eastAsia="zh-CN"/>
              </w:rPr>
              <w:t>__生产负责人__</w:t>
            </w:r>
          </w:p>
        </w:tc>
        <w:tc>
          <w:tcPr>
            <w:tcW w:w="145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批准</w:t>
            </w:r>
          </w:p>
        </w:tc>
        <w:tc>
          <w:tcPr>
            <w:tcW w:w="1463" w:type="dxa"/>
            <w:tcBorders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__最高管理者__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455" w:type="dxa"/>
            <w:gridSpan w:val="3"/>
            <w:tcBorders>
              <w:left w:val="double" w:color="auto" w:sz="6" w:space="0"/>
              <w:bottom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日期</w:t>
            </w:r>
          </w:p>
        </w:tc>
        <w:tc>
          <w:tcPr>
            <w:tcW w:w="1457" w:type="dxa"/>
            <w:gridSpan w:val="2"/>
            <w:tcBorders>
              <w:bottom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楷体_GB2312" w:eastAsia="楷体_GB2312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__管评计划制定日期__</w:t>
            </w:r>
          </w:p>
        </w:tc>
        <w:tc>
          <w:tcPr>
            <w:tcW w:w="1458" w:type="dxa"/>
            <w:tcBorders>
              <w:bottom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日期</w:t>
            </w:r>
          </w:p>
        </w:tc>
        <w:tc>
          <w:tcPr>
            <w:tcW w:w="1457" w:type="dxa"/>
            <w:tcBorders>
              <w:bottom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__管评计划制定日期__</w:t>
            </w:r>
          </w:p>
        </w:tc>
        <w:tc>
          <w:tcPr>
            <w:tcW w:w="1458" w:type="dxa"/>
            <w:gridSpan w:val="3"/>
            <w:tcBorders>
              <w:bottom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日期</w:t>
            </w:r>
          </w:p>
        </w:tc>
        <w:tc>
          <w:tcPr>
            <w:tcW w:w="1463" w:type="dxa"/>
            <w:tcBorders>
              <w:bottom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000000"/>
                <w:szCs w:val="21"/>
              </w:rPr>
            </w:pPr>
            <w:r>
              <w:rPr>
                <w:rFonts w:hint="eastAsia" w:ascii="楷体_GB2312" w:eastAsia="楷体_GB2312"/>
                <w:color w:val="000000"/>
                <w:szCs w:val="21"/>
              </w:rPr>
              <w:t>__管评计划制定日期__</w:t>
            </w:r>
          </w:p>
        </w:tc>
      </w:tr>
    </w:tbl>
    <w:p>
      <w:pPr>
        <w:rPr>
          <w:rFonts w:hint="eastAsia" w:ascii="楷体_GB2312" w:eastAsia="楷体_GB2312"/>
          <w:sz w:val="16"/>
        </w:rPr>
      </w:pPr>
    </w:p>
    <w:sectPr>
      <w:pgSz w:w="11906" w:h="16838"/>
      <w:pgMar w:top="1402" w:right="1701" w:bottom="935" w:left="19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F064D5"/>
    <w:rsid w:val="00021AFE"/>
    <w:rsid w:val="0008690C"/>
    <w:rsid w:val="00094AD6"/>
    <w:rsid w:val="000D1506"/>
    <w:rsid w:val="000D2E3C"/>
    <w:rsid w:val="001470C6"/>
    <w:rsid w:val="00174EB5"/>
    <w:rsid w:val="00177D59"/>
    <w:rsid w:val="001861F4"/>
    <w:rsid w:val="001A33B5"/>
    <w:rsid w:val="001B0931"/>
    <w:rsid w:val="001B2A38"/>
    <w:rsid w:val="001C633F"/>
    <w:rsid w:val="001D4C1E"/>
    <w:rsid w:val="001F2279"/>
    <w:rsid w:val="002000E3"/>
    <w:rsid w:val="00251185"/>
    <w:rsid w:val="00251A32"/>
    <w:rsid w:val="00276249"/>
    <w:rsid w:val="00284A50"/>
    <w:rsid w:val="0036720A"/>
    <w:rsid w:val="00410297"/>
    <w:rsid w:val="004221E7"/>
    <w:rsid w:val="0042377E"/>
    <w:rsid w:val="004328FA"/>
    <w:rsid w:val="00451D49"/>
    <w:rsid w:val="004A49FC"/>
    <w:rsid w:val="004E450E"/>
    <w:rsid w:val="004F0467"/>
    <w:rsid w:val="00502CE9"/>
    <w:rsid w:val="00515A11"/>
    <w:rsid w:val="005324A3"/>
    <w:rsid w:val="00551241"/>
    <w:rsid w:val="00560247"/>
    <w:rsid w:val="0061622E"/>
    <w:rsid w:val="00647D6D"/>
    <w:rsid w:val="00651B75"/>
    <w:rsid w:val="006A38A2"/>
    <w:rsid w:val="006B28C5"/>
    <w:rsid w:val="006B347A"/>
    <w:rsid w:val="006F4419"/>
    <w:rsid w:val="007065B3"/>
    <w:rsid w:val="00757494"/>
    <w:rsid w:val="007D496D"/>
    <w:rsid w:val="007E45A4"/>
    <w:rsid w:val="007E4B4B"/>
    <w:rsid w:val="007F2AA1"/>
    <w:rsid w:val="00804681"/>
    <w:rsid w:val="0083606B"/>
    <w:rsid w:val="008552BF"/>
    <w:rsid w:val="00860852"/>
    <w:rsid w:val="00876C1E"/>
    <w:rsid w:val="00897977"/>
    <w:rsid w:val="008A73FB"/>
    <w:rsid w:val="008B3D19"/>
    <w:rsid w:val="008F4747"/>
    <w:rsid w:val="0093598B"/>
    <w:rsid w:val="00965207"/>
    <w:rsid w:val="009668B4"/>
    <w:rsid w:val="009839C3"/>
    <w:rsid w:val="00993B48"/>
    <w:rsid w:val="009C2EB2"/>
    <w:rsid w:val="009D616A"/>
    <w:rsid w:val="009D7C25"/>
    <w:rsid w:val="009F457F"/>
    <w:rsid w:val="00A002C5"/>
    <w:rsid w:val="00A163DE"/>
    <w:rsid w:val="00A24AFD"/>
    <w:rsid w:val="00A30440"/>
    <w:rsid w:val="00A3686A"/>
    <w:rsid w:val="00A40038"/>
    <w:rsid w:val="00A81A50"/>
    <w:rsid w:val="00A83032"/>
    <w:rsid w:val="00A973A5"/>
    <w:rsid w:val="00AC20B3"/>
    <w:rsid w:val="00AD3531"/>
    <w:rsid w:val="00AE5C11"/>
    <w:rsid w:val="00AF3629"/>
    <w:rsid w:val="00AF473D"/>
    <w:rsid w:val="00B14D01"/>
    <w:rsid w:val="00B2165E"/>
    <w:rsid w:val="00B87606"/>
    <w:rsid w:val="00BA38C5"/>
    <w:rsid w:val="00BC2D02"/>
    <w:rsid w:val="00BE0F0D"/>
    <w:rsid w:val="00C17F56"/>
    <w:rsid w:val="00C7484F"/>
    <w:rsid w:val="00CD05B6"/>
    <w:rsid w:val="00CF5EB5"/>
    <w:rsid w:val="00D55C6F"/>
    <w:rsid w:val="00D5679A"/>
    <w:rsid w:val="00D86863"/>
    <w:rsid w:val="00DB060D"/>
    <w:rsid w:val="00DB3A56"/>
    <w:rsid w:val="00DD530D"/>
    <w:rsid w:val="00E05926"/>
    <w:rsid w:val="00E155B9"/>
    <w:rsid w:val="00EE6BC8"/>
    <w:rsid w:val="00F064D5"/>
    <w:rsid w:val="00FF691B"/>
    <w:rsid w:val="053F68E3"/>
    <w:rsid w:val="0DED5218"/>
    <w:rsid w:val="200D0865"/>
    <w:rsid w:val="309E3D6C"/>
    <w:rsid w:val="31B73948"/>
    <w:rsid w:val="3C36429C"/>
    <w:rsid w:val="48CD6904"/>
    <w:rsid w:val="4AE01685"/>
    <w:rsid w:val="4C313427"/>
    <w:rsid w:val="4E354E18"/>
    <w:rsid w:val="50845547"/>
    <w:rsid w:val="512D3C89"/>
    <w:rsid w:val="56DD5F9C"/>
    <w:rsid w:val="61175D73"/>
    <w:rsid w:val="671D183F"/>
    <w:rsid w:val="6B3E2C15"/>
    <w:rsid w:val="6CF97040"/>
    <w:rsid w:val="753E4C19"/>
    <w:rsid w:val="758415F2"/>
    <w:rsid w:val="767A2D9C"/>
    <w:rsid w:val="79F521A7"/>
    <w:rsid w:val="7DC14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line="380" w:lineRule="exact"/>
      <w:ind w:left="718" w:leftChars="342"/>
    </w:pPr>
    <w:rPr>
      <w:rFonts w:ascii="宋体" w:hAnsi="宋体"/>
      <w:sz w:val="28"/>
    </w:rPr>
  </w:style>
  <w:style w:type="paragraph" w:styleId="4">
    <w:name w:val="Body Text Indent 2"/>
    <w:basedOn w:val="1"/>
    <w:uiPriority w:val="0"/>
    <w:pPr>
      <w:ind w:left="735" w:leftChars="350"/>
    </w:pPr>
    <w:rPr>
      <w:rFonts w:ascii="宋体" w:hAnsi="宋体"/>
      <w:sz w:val="28"/>
    </w:rPr>
  </w:style>
  <w:style w:type="paragraph" w:styleId="5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basedOn w:val="8"/>
    <w:link w:val="5"/>
    <w:uiPriority w:val="0"/>
    <w:rPr>
      <w:kern w:val="2"/>
      <w:sz w:val="18"/>
      <w:szCs w:val="18"/>
    </w:rPr>
  </w:style>
  <w:style w:type="character" w:customStyle="1" w:styleId="10">
    <w:name w:val="页眉 Char"/>
    <w:basedOn w:val="8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ehead</Company>
  <Pages>1</Pages>
  <Words>86</Words>
  <Characters>495</Characters>
  <Lines>4</Lines>
  <Paragraphs>1</Paragraphs>
  <TotalTime>1</TotalTime>
  <ScaleCrop>false</ScaleCrop>
  <LinksUpToDate>false</LinksUpToDate>
  <CharactersWithSpaces>580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2008-05-28T12:30:00Z</dcterms:created>
  <dc:creator>Administrator</dc:creator>
  <cp:lastModifiedBy>411</cp:lastModifiedBy>
  <cp:lastPrinted>2006-01-12T04:47:00Z</cp:lastPrinted>
  <dcterms:modified xsi:type="dcterms:W3CDTF">2022-08-05T07:12:15Z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B531A51BCE5442FAB7A64E9F0890FBEA</vt:lpwstr>
  </property>
</Properties>
</file>