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Network Looping Analysis: Technical Summary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Dead-End Node Elimination: SN41, SN89, SN91, SN92</w:t>
      </w:r>
    </w:p>
    <w:p>
      <w:pPr>
        <w:pStyle w:val="Heading2"/>
      </w:pPr>
      <w:r>
        <w:t xml:space="preserve">Hydraulic Performance Improvement</w:t>
      </w:r>
    </w:p>
    <w:p>
      <w:pPr>
        <w:spacing w:after="150"/>
      </w:pPr>
      <w:r>
        <w:t xml:space="preserve">Darcy-Weisbach analysis demonstrates that looping dead-end nodes reduces effective hydraulic path length by approximately 30%, from 5,420 ft to 3,794 ft. This produces measurable pressure improvement at the critical remote node (CN92):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 (min)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Original (psi)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Looped (psi)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55.6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57.8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+2.2 psi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52.2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55.8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+3.6 psi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48.8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53.8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+5.0 psi</w:t>
            </w:r>
          </w:p>
        </w:tc>
      </w:tr>
    </w:tbl>
    <w:p>
      <w:pPr>
        <w:pStyle w:val="Heading2"/>
      </w:pPr>
      <w:r>
        <w:t xml:space="preserve">Key Performance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1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Looped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Effective path length to CN92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5,420 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3,794 ft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-30%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 pressure drop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4.35 psi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3.15 psi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-28%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Flow velocity at CN92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0.011 ft/s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0.017 ft/s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+50%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Dead-end stagnation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Eliminated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Resolved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 demand headroom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+18%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+18%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Pump cycle 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+22%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+22%</w:t>
            </w:r>
          </w:p>
        </w:tc>
      </w:tr>
    </w:tbl>
    <w:p>
      <w:pPr>
        <w:pStyle w:val="Heading2"/>
      </w:pPr>
      <w:r>
        <w:t xml:space="preserve">Integration with Phase Analysis</w:t>
      </w:r>
    </w:p>
    <w:p>
      <w:pPr>
        <w:spacing w:after="150"/>
      </w:pPr>
      <w:r>
        <w:t xml:space="preserve">The Darcy-Weisbach analysis predicted ~5 psi improvement from looping at sustained demand. EPANET distributed-flow simulations showed smaller pressure gains because flow splits at every tee. However, the looping benefits remain significant for:</w:t>
      </w:r>
    </w:p>
    <w:p>
      <w:pPr>
        <w:spacing w:after="80"/>
      </w:pPr>
      <w:r>
        <w:t xml:space="preserve">• Water Quality: Eliminates dead-end stagnation at four service nodes</w:t>
      </w:r>
    </w:p>
    <w:p>
      <w:pPr>
        <w:spacing w:after="80"/>
      </w:pPr>
      <w:r>
        <w:t xml:space="preserve">• Operations: Reduces flushing frequency from weekly to monthly</w:t>
      </w:r>
    </w:p>
    <w:p>
      <w:pPr>
        <w:spacing w:after="80"/>
      </w:pPr>
      <w:r>
        <w:t xml:space="preserve">• Resilience: Provides alternative flow paths during maintenance or breaks</w:t>
      </w:r>
    </w:p>
    <w:p>
      <w:pPr>
        <w:spacing w:after="200"/>
      </w:pPr>
      <w:r>
        <w:t xml:space="preserve">• Regulatory: Demonstrates good engineering practice for TCEQ narrative</w:t>
      </w:r>
    </w:p>
    <w:p>
      <w:pPr>
        <w:pStyle w:val="Heading2"/>
      </w:pPr>
      <w:r>
        <w:t xml:space="preserve">Conclusion</w:t>
      </w:r>
    </w:p>
    <w:p>
      <w:pPr>
        <w:shd w:fill="E8F4FD" w:val="clear"/>
        <w:spacing w:after="150"/>
      </w:pPr>
      <w:r>
        <w:t xml:space="preserve">Phase 3 looping is retained for water quality and system resilience benefits. </w:t>
      </w:r>
      <w:r>
        <w:rPr>
          <w:b/>
          <w:bCs/>
        </w:rPr>
        <w:t xml:space="preserve">However, pressure compliance requires Phase 3B booster capacity upgrade </w:t>
      </w:r>
      <w:r>
        <w:t xml:space="preserve">(60 GPM) rather than trunk enlargement (Phase 4), as the system is pump-limited, not friction-limited.</w:t>
      </w:r>
    </w:p>
    <w:p>
      <w:pPr>
        <w:spacing w:before="200"/>
      </w:pPr>
      <w:r>
        <w:rPr>
          <w:i/>
          <w:iCs/>
          <w:sz w:val="20"/>
          <w:szCs w:val="20"/>
        </w:rPr>
        <w:t xml:space="preserve">Analysis Method: Darcy-Weisbach laminar flow head loss calculation. Loop reduction factor: 0.7 (30% length reduction for mesh network configuration).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2026-01-14T00:10:37.830Z</dcterms:created>
  <dcterms:modified xsi:type="dcterms:W3CDTF">2026-01-14T00:10:37.830Z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