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737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3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80" w:line="276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图1  模型训练过程截图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2880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445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44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463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83080" cy="14531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14531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 w:line="276" w:lineRule="auto"/>
        <w:jc w:val="left"/>
      </w:pPr>
      <w:r>
        <w:rPr>
          <w:rFonts w:ascii="微软雅黑" w:hAnsi="微软雅黑" w:eastAsia="微软雅黑"/>
          <w:b w:val="0"/>
          <w:color w:val="595959"/>
          <w:sz w:val="18"/>
        </w:rPr>
        <w:t>图2  用 tensorboard 对 test_accuracy 监测，图中测试集准确率呈上升趋势</w:t>
      </w:r>
    </w:p>
    <w:p>
      <w:pPr>
        <w:spacing w:before="40" w:after="40" w:line="276" w:lineRule="auto"/>
        <w:jc w:val="left"/>
      </w:pPr>
      <w:r>
        <w:rPr>
          <w:rFonts w:ascii="微软雅黑" w:hAnsi="微软雅黑" w:eastAsia="微软雅黑"/>
          <w:b w:val="0"/>
          <w:color w:val="595959"/>
          <w:sz w:val="18"/>
        </w:rPr>
        <w:t>图3  用 tensorboard 对 test_loss 进行监测，图中测试集模型反向传播损失在下降</w:t>
      </w:r>
    </w:p>
    <w:p>
      <w:pPr>
        <w:spacing w:before="40" w:after="480" w:line="276" w:lineRule="auto"/>
        <w:jc w:val="left"/>
      </w:pPr>
      <w:r>
        <w:rPr>
          <w:rFonts w:ascii="微软雅黑" w:hAnsi="微软雅黑" w:eastAsia="微软雅黑"/>
          <w:b w:val="0"/>
          <w:color w:val="595959"/>
          <w:sz w:val="18"/>
        </w:rPr>
        <w:t>图4  用 tensorboard 对 test_loss 进行监测，每 100 张图片监测一次，图中训练集模型反向传播损失在下降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47281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28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 w:line="276" w:lineRule="auto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图5  用猫狗测试集应用模型的图像识别功能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