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i w:val="1"/>
          <w:sz w:val="24"/>
          <w:szCs w:val="24"/>
          <w:rtl w:val="0"/>
        </w:rPr>
        <w:t xml:space="preserve">MSJ Computer Science Club Constitution – 2016-2017</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1: Organization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Name of Organization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MSJ Computer Science Club</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Purpose and Means of Accomplishment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MSJ Computer Science Club is dedicated to providing access to and instruction in the field of computer science and the applications of computing. Examples of how the club aims to help the school’s community: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Instructing the school community in integrating technology with education (for example, the iOS application for the Fremont Unified School District created by Sumukh Sridhara and Andrew Han)</w:t>
      </w:r>
    </w:p>
    <w:p w:rsidR="00000000" w:rsidDel="00000000" w:rsidP="00000000" w:rsidRDefault="00000000" w:rsidRPr="00000000">
      <w:pPr>
        <w:numPr>
          <w:ilvl w:val="0"/>
          <w:numId w:val="2"/>
        </w:numPr>
        <w:spacing w:line="240" w:lineRule="auto"/>
        <w:ind w:left="720" w:hanging="3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Participating in competitions involving programming, information systems, and other topics in computing (e.g. Cyber Foundations, SvSTRUT)</w:t>
      </w:r>
    </w:p>
    <w:p w:rsidR="00000000" w:rsidDel="00000000" w:rsidP="00000000" w:rsidRDefault="00000000" w:rsidRPr="00000000">
      <w:pPr>
        <w:numPr>
          <w:ilvl w:val="0"/>
          <w:numId w:val="2"/>
        </w:numPr>
        <w:ind w:left="720" w:hanging="3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Sponsoring field trips to institutions such as universities and museums in order to allow members to experience and learn about computer science</w:t>
      </w:r>
    </w:p>
    <w:p w:rsidR="00000000" w:rsidDel="00000000" w:rsidP="00000000" w:rsidRDefault="00000000" w:rsidRPr="00000000">
      <w:pPr>
        <w:numPr>
          <w:ilvl w:val="0"/>
          <w:numId w:val="2"/>
        </w:numPr>
        <w:ind w:left="720" w:hanging="3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Offering help, advice, and opportunities to all members in activities regarding computer science</w:t>
      </w:r>
    </w:p>
    <w:p w:rsidR="00000000" w:rsidDel="00000000" w:rsidP="00000000" w:rsidRDefault="00000000" w:rsidRPr="00000000">
      <w:pPr>
        <w:numPr>
          <w:ilvl w:val="0"/>
          <w:numId w:val="2"/>
        </w:numPr>
        <w:ind w:left="720" w:hanging="3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Creating an environment in which members can easily collaborate with each other in projects, competitions, and general discussion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2: Meetings and Events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Meeting Profile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Meetings will be held on Tuesdays and Friday during lunch in B8 (Dr. Lazar’s room) at a frequency of at least 4 times every month, unless complications arise. Fridays will be generally used as a reserve date if possible.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Example of Typical Meeting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Discussion of competitions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Discussion of current events in the industry (includes guest speakers)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Computer lessons (includes programming, making websites, debugging code, workshops, etc.)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Debugging each other’s programs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Hands-on workshops (taking apart computers, coding together)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3. Announcement of Meeting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Members who request to be on the email list will receive an email at least one day before each meeting informing them of the meeting. Meeting notifications will also be posted on the Facebook group and in the Thursday read meetings.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4. Definition of Quorum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At least</w:t>
      </w:r>
      <w:r w:rsidDel="00000000" w:rsidR="00000000" w:rsidRPr="00000000">
        <w:rPr>
          <w:rFonts w:ascii="Times New Roman" w:cs="Times New Roman" w:eastAsia="Times New Roman" w:hAnsi="Times New Roman"/>
          <w:sz w:val="24"/>
          <w:szCs w:val="24"/>
          <w:rtl w:val="0"/>
        </w:rPr>
        <w:t xml:space="preserve"> three officers </w:t>
      </w:r>
      <w:r w:rsidDel="00000000" w:rsidR="00000000" w:rsidRPr="00000000">
        <w:rPr>
          <w:rFonts w:ascii="Times New Roman" w:cs="Times New Roman" w:eastAsia="Times New Roman" w:hAnsi="Times New Roman"/>
          <w:sz w:val="24"/>
          <w:szCs w:val="24"/>
          <w:rtl w:val="0"/>
        </w:rPr>
        <w:t xml:space="preserve">should be present in order for a meeting to take place. There should be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six or more members present, but the number of members required for a club meeting to take place is left to the discretion of the club officers.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5. Ideas for Events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Funding for these events are obtained from the participants.</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CyberFoundations, an online national competition for high school students to learn about networking, scripting, and operating system fundamentals.</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Field trips (e.g. Computer History Museum at Mountain View)</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CyberPatriot, a national computer security competition supported by the Air Force Foundation.</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ACSL - American Computer Science League competition, held annually. </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Zero Robotics - build robots and compete against other people, winner gets program to run in space, sponsored by NASA and MIT.</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Classes in Artificial Intelligence, Machine Learning, and Databases - upper division Stanford computer science classes offered online for free and taught by world renown researchers. We’ll be forming a MSJ study group for these classes.</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SvSTRUT - Silicon Valley Students Recycling Used Technology - high school teams compete against other high school teams in the Bay Area on the ability to network a series of devices, building computers, and quiz bowls.</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Stanford ProCo, HP Codewars, Harker Invitational</w:t>
      </w:r>
    </w:p>
    <w:p w:rsidR="00000000" w:rsidDel="00000000" w:rsidP="00000000" w:rsidRDefault="00000000" w:rsidRPr="00000000">
      <w:pPr>
        <w:numPr>
          <w:ilvl w:val="0"/>
          <w:numId w:val="1"/>
        </w:numPr>
        <w:ind w:left="720" w:hanging="359"/>
        <w:jc w:val="both"/>
        <w:rPr/>
      </w:pPr>
      <w:r w:rsidDel="00000000" w:rsidR="00000000" w:rsidRPr="00000000">
        <w:rPr>
          <w:rFonts w:ascii="Times New Roman" w:cs="Times New Roman" w:eastAsia="Times New Roman" w:hAnsi="Times New Roman"/>
          <w:sz w:val="24"/>
          <w:szCs w:val="24"/>
          <w:rtl w:val="0"/>
        </w:rPr>
        <w:t xml:space="preserve">Hackathons such as HSHacks, hackathon.io, Angelhacks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3: Membership</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Eligibility for Membership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student may join the club. Membership is free, but people who participate in a competition that requires a fee will have to pay that fee.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Term of Membership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term of membership is annual. Each student can sign up each year for the club. They then stay as a member from when they sign up for the duration of the year to the end of the school year, and may participate in club activities including but not limited to competitions and lessons.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3. Membership Exclusion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If a member is overly disruptive or prevents the meeting from being productive, that member will be excluded from meetings for the rest of the school year and is prohibited from competitions and other activities at the discretion of the club officers.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4: Officers and Elections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Titles and Duties of Officers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President:</w:t>
      </w:r>
      <w:r w:rsidDel="00000000" w:rsidR="00000000" w:rsidRPr="00000000">
        <w:rPr>
          <w:rFonts w:ascii="Times New Roman" w:cs="Times New Roman" w:eastAsia="Times New Roman" w:hAnsi="Times New Roman"/>
          <w:sz w:val="24"/>
          <w:szCs w:val="24"/>
          <w:rtl w:val="0"/>
        </w:rPr>
        <w:t xml:space="preserve"> The President(s) is to coordinate events within the club, as well as organize and direct all meetings. It is also his or her responsibility to maintain communication with the other officers and ensure that the club is being actively productive. The President(s) also acts as the chief in command of all operations of the club.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Vice President:</w:t>
      </w:r>
      <w:r w:rsidDel="00000000" w:rsidR="00000000" w:rsidRPr="00000000">
        <w:rPr>
          <w:rFonts w:ascii="Times New Roman" w:cs="Times New Roman" w:eastAsia="Times New Roman" w:hAnsi="Times New Roman"/>
          <w:sz w:val="24"/>
          <w:szCs w:val="24"/>
          <w:rtl w:val="0"/>
        </w:rPr>
        <w:t xml:space="preserve"> It falls upon the Vice President to take on the President’s responsibilities if in any case the President is incapacitated or unable to attend any meetings or events. In all other cases, the Vice President assists in directing meetings and coordinating events. He or she will also take on the role of club webmaster and will be in charge of maintaining and updating the website throughout the year. He or she may work with the Activities Coordinator to synchronize the posting of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Secretary:</w:t>
      </w:r>
      <w:r w:rsidDel="00000000" w:rsidR="00000000" w:rsidRPr="00000000">
        <w:rPr>
          <w:rFonts w:ascii="Times New Roman" w:cs="Times New Roman" w:eastAsia="Times New Roman" w:hAnsi="Times New Roman"/>
          <w:sz w:val="24"/>
          <w:szCs w:val="24"/>
          <w:rtl w:val="0"/>
        </w:rPr>
        <w:t xml:space="preserve"> The Secretary is to document club activities and organize club-related files in the Google Drive folder. He or she will record the events of each meeting and make them available to members via email, Facebook, or the website after the meeting. He or she will work with the Vice President to facilitate the availability of the information on the website and other media. He or she will also work with the Activities Coordinator and Public Relations officer to ensure that activities and planning run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The Treasurer keeps track of club funds and tracks the movement of money in and out of the club treasury. He or she is responsible for the collection and safekeeping of money from fees for competitions and materials. He or she will also assist in the maintenance of the website.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Activities Coordinator:</w:t>
      </w:r>
      <w:r w:rsidDel="00000000" w:rsidR="00000000" w:rsidRPr="00000000">
        <w:rPr>
          <w:rFonts w:ascii="Times New Roman" w:cs="Times New Roman" w:eastAsia="Times New Roman" w:hAnsi="Times New Roman"/>
          <w:sz w:val="24"/>
          <w:szCs w:val="24"/>
          <w:rtl w:val="0"/>
        </w:rPr>
        <w:t xml:space="preserve"> The Activities Coordinator organizes club activities and events within the school, such as Multicultural Week and computer dissections, and coordinates with club subdivisions, such as algorithms, app development, web development, etc. to organize club meetings and activities that suit them best. He or she is also in charge of the promoting and advertising of club events and meetings through morning announcements, read meets, email, Facebook, and other means of communication.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Public Relations Officer: </w:t>
      </w:r>
      <w:r w:rsidDel="00000000" w:rsidR="00000000" w:rsidRPr="00000000">
        <w:rPr>
          <w:rFonts w:ascii="Times New Roman" w:cs="Times New Roman" w:eastAsia="Times New Roman" w:hAnsi="Times New Roman"/>
          <w:sz w:val="24"/>
          <w:szCs w:val="24"/>
          <w:rtl w:val="0"/>
        </w:rPr>
        <w:t xml:space="preserve">The Public Relations Officer is</w:t>
      </w:r>
      <w:r w:rsidDel="00000000" w:rsidR="00000000" w:rsidRPr="00000000">
        <w:rPr>
          <w:rFonts w:ascii="Times New Roman" w:cs="Times New Roman" w:eastAsia="Times New Roman" w:hAnsi="Times New Roman"/>
          <w:sz w:val="24"/>
          <w:szCs w:val="24"/>
          <w:rtl w:val="0"/>
        </w:rPr>
        <w:t xml:space="preserve"> responsible for contacting outside jurisdiction of the school, including local, national, and international businesses and organizations, to enrich club activities (look for guest speakers, organize field trips, and more). He or she will be an initial contact point for any media coverage and dialogue between the club and outside entities. He or she is also responsible for the interests in the subdivisions of MSJ CS Club to find out what activities will best suit them.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Selection of Officers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Selection of new officers is done by application followed by interviews, and will be performed in May each year. This will be done collectively by the incumbent officers. Incumbent officers must reapply, and will be evaluated by the graduating officers only. In deciding on officers for the subsequent year, at least one officer must be a rising senior, and no more than half of all officers may be rising seniors.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3. Requirements for Eligibility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member may become an officer.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4. Term of Office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An officer serves for one year.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5. Officer Removal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officer may be impeached for not fulfilling the duties outlined in Article 4, Section 1. Impeachment can only occur if at least four of the other five other officers agree that the officer in question has not been actively fulfilling his or her responsibilities. However, any member of the club may request an impeachment. Before an officer is impeached, he or she must be placed on trial for at least one month. After one month, impeaching the officer will require a majority vote. An officer may not be on trial for more than 3 months.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6. Vacancy of Office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If an officer leaves before the end of his or her term, a call for candidates will be made to the club, and these candidates will be interviewed by the current officers to determine who will fill the vacancy.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7. Appointment of Representative to Leadership Council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representative will change each week, in the following order: President, President, Vice President, Secretary, Treasurer, Activities Coordinator.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4: Adult Advisors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Name of Adult Advisor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Dr. Matt Lazar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Duties of Adult Advisor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adult advisor is held responsible for the supervision of the club and all of its members during meetings and events. The advisor will also be the school representative at any activity or competition that requires any such adult supervision.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5: Safety and Liability</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Physical Injury, Property Damage, and Liability (Waivers)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club, the officers, and the adult advisor will not be held liable for the damages and associated costs in the event that someone is killed or wounded during a meeting or event. The club, officers, or adult supervisor will not be held responsible for any consequences associated with property damage unless they were directly involved. All members and officers are expected to comply with school, state, and federal law. If said laws are infringed, all responsibility will be placed on the responsible party and not the collective club, officers, or adult advisor.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Article 6: Financial Activities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Revenues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Fees required for any activities (for example, competition fees, materials) will be evenly distributed amongst the members who wish to participate in them. If a member does not pay his or her share of the fee, they will be excluded from participating in the activity.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Expenditures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club-wide expenditure will be put to a vote at a club meeting and a majority of the vote is needed to pass the expenditure.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Section 3. Transactions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transactions involving the movement of money in or out of the club bank account are to be controlled and recorded by the Treasurer, or with the approval of the Treasurer.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Article 7: Amendments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1. Proposition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Any club member who wishes to propose an amendment to the constitution should contact the officers with a description of the proposed amendment.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Section 2. Requirements for Amendment to be Passed / Ratification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amendment can be passed if at least 5 of the officers agree unanimously that the passing of the amendment is a reasonable and valid 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Signatures and Contact Information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720.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1920"/>
        <w:gridCol w:w="3405"/>
        <w:gridCol w:w="2025"/>
        <w:tblGridChange w:id="0">
          <w:tblGrid>
            <w:gridCol w:w="2370"/>
            <w:gridCol w:w="1920"/>
            <w:gridCol w:w="3405"/>
            <w:gridCol w:w="2025"/>
          </w:tblGrid>
        </w:tblGridChange>
      </w:tblGrid>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Signature</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Advisor</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Matt Lazar</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hyperlink r:id="rId5">
              <w:r w:rsidDel="00000000" w:rsidR="00000000" w:rsidRPr="00000000">
                <w:rPr>
                  <w:rFonts w:ascii="Times New Roman" w:cs="Times New Roman" w:eastAsia="Times New Roman" w:hAnsi="Times New Roman"/>
                  <w:color w:val="000099"/>
                  <w:sz w:val="24"/>
                  <w:szCs w:val="24"/>
                  <w:u w:val="single"/>
                  <w:rtl w:val="0"/>
                </w:rPr>
                <w:t xml:space="preserve">mlazar@fremont.k12.ca.us</w:t>
              </w:r>
            </w:hyperlink>
            <w:hyperlink r:id="rId6">
              <w:r w:rsidDel="00000000" w:rsidR="00000000" w:rsidRPr="00000000">
                <w:rPr>
                  <w:rtl w:val="0"/>
                </w:rPr>
              </w:r>
            </w:hyperlink>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hyperlink r:id="rId7">
              <w:r w:rsidDel="00000000" w:rsidR="00000000" w:rsidRPr="00000000">
                <w:rPr>
                  <w:rtl w:val="0"/>
                </w:rPr>
              </w:r>
            </w:hyperlink>
          </w:p>
        </w:tc>
      </w:tr>
      <w:tr>
        <w:tc>
          <w:tcPr>
            <w:tcMar>
              <w:top w:w="100.0" w:type="dxa"/>
              <w:left w:w="108.0" w:type="dxa"/>
              <w:bottom w:w="100.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President</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Valerie Choung</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vchoung@gmail.com</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Vice President</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Sabrina Liu</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sliu.owl68@gmail.com</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Secretary</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Angela Yi</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yiangela7@gmail.com</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Treasurer</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Richard Liu</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richardliu2007@gmail.com</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Activities Coordinator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Kanav Kalucha</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seankeller2010@gmail.com</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Public Relations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Officer</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Ishil Puri</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ishil.puri@gmail.com</w:t>
            </w:r>
          </w:p>
        </w:tc>
        <w:tc>
          <w:tcPr>
            <w:tcMar>
              <w:top w:w="100.0" w:type="dxa"/>
              <w:left w:w="108.0" w:type="dxa"/>
              <w:bottom w:w="100.0" w:type="dxa"/>
              <w:right w:w="108.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414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84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12780"/>
      </w:pPr>
      <w:rPr>
        <w:rFonts w:ascii="Arial" w:cs="Arial" w:eastAsia="Arial" w:hAnsi="Arial"/>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lazar@fremont.k12.ca.us" TargetMode="External"/><Relationship Id="rId6" Type="http://schemas.openxmlformats.org/officeDocument/2006/relationships/hyperlink" Target="mailto:mlazar@fremont.k12.ca.us" TargetMode="External"/><Relationship Id="rId7" Type="http://schemas.openxmlformats.org/officeDocument/2006/relationships/hyperlink" Target="mailto:mlazar@fremont.k12.ca.us" TargetMode="External"/></Relationships>
</file>