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12.305347742473616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80.34734044517113%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32.964752083267136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78.62959862939401%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32.50786051788525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64.99560141965763%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93.7690635345808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38.55493424278952%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89.95847196775946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20.97938543240806%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75.36826916636834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82.51314993975978%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25.814069212300584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58.5833484788793%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50.801928406744054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12.238468313701013%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