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
        xmlns:wpc="http://schemas.microsoft.com/office/word/2010/wordprocessingCanvas"
        xmlns:mc="http://schemas.openxmlformats.org/markup-compatibility/2006"
        xmlns:o="urn:schemas-microsoft-com:office:office"
        xmlns:r="http://schemas.openxmlformats.org/officeDocument/2006/relationships"
        xmlns:m="http://schemas.openxmlformats.org/officeDocument/2006/math"
        xmlns:v="urn:schemas-microsoft-com:vml"
        xmlns:wp14="http://schemas.microsoft.com/office/word/2010/wordprocessingDrawing"
        xmlns:wp="http://schemas.openxmlformats.org/drawingml/2006/wordprocessingDrawing"
        xmlns:w10="urn:schemas-microsoft-com:office:word"
        xmlns:w="http://schemas.openxmlformats.org/wordprocessingml/2006/main"
        xmlns:w14="http://schemas.microsoft.com/office/word/2010/wordml"
        xmlns:w15="http://schemas.microsoft.com/office/word/2012/wordml"
        xmlns:wpg="http://schemas.microsoft.com/office/word/2010/wordprocessingGroup"
        xmlns:wpi="http://schemas.microsoft.com/office/word/2010/wordprocessingInk"
        xmlns:wne="http://schemas.microsoft.com/office/word/2006/wordml"
        xmlns:wps="http://schemas.microsoft.com/office/word/2010/wordprocessingShape" mc:Ignorable="w14 w15 wp14">
    <w:body>
        <w:p w:rsidR="00A00C67" w:rsidRDefault="00A00C67" w:rsidP="00A00C67">
            <w:r>
                <w:rPr>
                    <w:rFonts w:hint="eastAsia"/>
                </w:rPr>
                <w:t>模板说明：本模板采集报告年度近三年的申报收入及申报利润总额数据，并对数据的增减变动情况进行分析，输入内容包括文字解读、图表展现等。</w:t>
            </w:r>
        </w:p>
        <w:p w:rsidR="00A00C67" w:rsidRPr="00A00C67" w:rsidRDefault="00194CF8" w:rsidP="00A00C67">
            <w:pPr>
                <w:pStyle w:val="a3"/>
            </w:pPr>
            <w:r>
                <w:t>企业所得税汇缴税源变化情况报告</w:t>
            </w:r>
        </w:p>
        <w:p w:rsidR="00194CF8" w:rsidRDefault="00194CF8" w:rsidP="008513E1">
            <w:pPr>
                <w:pStyle w:val="a4"/>
            </w:pPr>
            <w:r>
                <w:t>2018</w:t>
            </w:r>
            <w:r>
                <w:rPr>
                    <w:rFonts w:hint="eastAsia"/>
                </w:rPr>
                <w:t>年度</w:t>
            </w:r>
        </w:p>
        <w:p w:rsidR="00194CF8" w:rsidRPr="00B815CE" w:rsidRDefault="006E6EF1" w:rsidP="00B815CE">
            <w:pPr>
                <w:spacing w:line="360" w:lineRule="auto"/>
                <w:ind w:firstLineChars="200" w:firstLine="480"/>
                <w:rPr>
                    <w:sz w:val="24"/>
                    <w:szCs w:val="24"/>
                </w:rPr>
            </w:pPr>
            <w:r w:rsidRPr="00B815CE">
                <w:rPr>
                    <w:rFonts w:hint="eastAsia"/>
                    <w:sz w:val="24"/>
                    <w:szCs w:val="24"/>
                </w:rPr>
                <w:t>2016年收入总额完成7088880.09万元,同比增长7.76,利润总额完成863185.89万,同比增长-511.97。2017年收入总额完成10700108.95万元,同比增长50.94,利润总额完成223679.99万,同比增长-74.09。2018年收入总额完成5288.29万元,同比增长-99.95,利润总额完成-553.49万,同比增长-100.25。如下图:</w:t>
            </w:r>
            <w:r w:rsidR="00103822" w:rsidRPr="00B815CE">
                <w:rPr>
                    <w:sz w:val="24"/>
                    <w:szCs w:val="24"/>
                </w:rPr>
                <w:t>：</w:t>
            </w:r>
        </w:p>
        <w:p w:rsidR="008923A1" w:rsidRPr="00B815CE" w:rsidRDefault="008923A1" w:rsidP="00B815CE">
            <w:pPr>
                <w:jc w:val="center"/>
                <w:rPr>
                    <w:b/>
                </w:rPr>
            </w:pPr>
            <w:r w:rsidRPr="00B815CE">
                <w:rPr>
                    <w:rFonts w:hint="eastAsia"/>
                    <w:b/>
                </w:rPr>
                <w:t>近三年汇缴税源变化情况表：</w:t>
            </w:r>
            <w:proofErr w:type="gramStart"/>
        </w:p>
        <w:tbl>
            <w:tblPr>
                <w:tblW w:w="8040" w:type="dxa"/>
                <w:tblLook w:val="04A0" w:firstRow="1" w:lastRow="0" w:firstColumn="1" w:lastColumn="0" w:noHBand="0" w:noVBand="1"/>
            </w:tblPr>
            <w:tblGrid>
                <w:gridCol w:w="1420"/>
                <w:gridCol w:w="1460"/>
                <w:gridCol w:w="1560"/>
                <w:gridCol w:w="1420"/>
                <w:gridCol w:w="2180"/>
            </w:tblGrid>
            <w:tr w:rsidR="006356F7" w:rsidRPr="006356F7" w:rsidTr="006356F7">
                <w:trPr>
                    <w:trHeight w:val="270"/>
                </w:trPr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kern w:val="0"/>
                                <w:sz w:val="24"/>
                                <w:szCs w:val="24"/>
                            </w:rPr>
                        </w:pP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单位：万元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年度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收入总额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利润总额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
Expression row["CXND"] is undefined on line 494, column 36 in freemarker/hsqj2007/document.xml.
The problematic instruction:
----------
==> ${row["CXND"]} [on line 494, column 34 in freemarker/hsqj2007/document.xml]
----------

Java backtrace for programmers:
----------
freemarker.core.InvalidReferenceException: Expression row["CXND"] is undefined on line 494, column 36 in freemarker/hsqj2007/document.xml.
	at freemarker.core.TemplateObject.assertNonNull(TemplateObject.java:125)
	at freemarker.core.Expression.getStringValue(Expression.java:118)
	at freemarker.core.Expression.getStringValue(Expression.java:93)
	at freemarker.core.DollarVariable.accept(DollarVariable.java:76)
	at freemarker.core.Environment.visit(Environment.java:221)
	at freemarker.core.MixedContent.accept(MixedContent.java:92)
	at freemarker.core.Environment.visit(Environment.java:221)
	at freemarker.core.IteratorBlock$Context.runLoop(IteratorBlock.java:179)
	at freemarker.core.Environment.visit(Environment.java:428)
	at freemarker.core.IteratorBlock.accept(IteratorBlock.java:102)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cn.com.servyou.yjscbg.docproducer.Doc2007ProducerImpl.create(Doc2007ProducerImpl.java:78)
	at cn.com.servyou.yjscbg.parsers.AbstractDocParser.createDoc(AbstractDocParser.java:73)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$Proxy70.doCreateDoc(Unknown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