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
        xmlns:wpc="http://schemas.microsoft.com/office/word/2010/wordprocessingCanvas"
        xmlns:mc="http://schemas.openxmlformats.org/markup-compatibility/2006"
        xmlns:o="urn:schemas-microsoft-com:office:office"
        xmlns:r="http://schemas.openxmlformats.org/officeDocument/2006/relationships"
        xmlns:m="http://schemas.openxmlformats.org/officeDocument/2006/math"
        xmlns:v="urn:schemas-microsoft-com:vml"
        xmlns:wp14="http://schemas.microsoft.com/office/word/2010/wordprocessingDrawing"
        xmlns:wp="http://schemas.openxmlformats.org/drawingml/2006/wordprocessingDrawing"
        xmlns:w10="urn:schemas-microsoft-com:office:word"
        xmlns:w="http://schemas.openxmlformats.org/wordprocessingml/2006/main"
        xmlns:w14="http://schemas.microsoft.com/office/word/2010/wordml"
        xmlns:w15="http://schemas.microsoft.com/office/word/2012/wordml"
        xmlns:wpg="http://schemas.microsoft.com/office/word/2010/wordprocessingGroup"
        xmlns:wpi="http://schemas.microsoft.com/office/word/2010/wordprocessingInk"
        xmlns:wne="http://schemas.microsoft.com/office/word/2006/wordml"
        xmlns:wps="http://schemas.microsoft.com/office/word/2010/wordprocessingShape" mc:Ignorable="w14 w15 wp14">
    <w:body>
        <w:p w:rsidR="00A00C67" w:rsidRDefault="00A00C67" w:rsidP="00A00C67">
            <w:r>
                <w:rPr>
                    <w:rFonts w:hint="eastAsia"/>
                </w:rPr>
                <w:t>模板说明：本模板采集报告年度近三年的申报收入及申报利润总额数据，并对数据的增减变动情况进行分析，输入内容包括文字解读、图表展现等。</w:t>
            </w:r>
        </w:p>
        <w:p w:rsidR="00A00C67" w:rsidRPr="00A00C67" w:rsidRDefault="00194CF8" w:rsidP="00A00C67">
            <w:pPr>
                <w:pStyle w:val="a3"/>
            </w:pPr>
            <w:r>
                <w:t>企业所得税汇缴税源变化情况报告</w:t>
            </w:r>
        </w:p>
        <w:p w:rsidR="00194CF8" w:rsidRDefault="00194CF8" w:rsidP="008513E1">
            <w:pPr>
                <w:pStyle w:val="a4"/>
            </w:pPr>
            <w:r>
                <w:t>2018</w:t>
            </w:r>
            <w:r>
                <w:rPr>
                    <w:rFonts w:hint="eastAsia"/>
                </w:rPr>
                <w:t>年度</w:t>
            </w:r>
        </w:p>
        <w:p w:rsidR="00194CF8" w:rsidRPr="00B815CE" w:rsidRDefault="006E6EF1" w:rsidP="00B815CE">
            <w:pPr>
                <w:spacing w:line="360" w:lineRule="auto"/>
                <w:ind w:firstLineChars="200" w:firstLine="480"/>
                <w:rPr>
                    <w:sz w:val="24"/>
                    <w:szCs w:val="24"/>
                </w:rPr>
            </w:pPr>
            <w:r w:rsidRPr="00B815CE">
                <w:rPr>
                    <w:rFonts w:hint="eastAsia"/>
                    <w:sz w:val="24"/>
                    <w:szCs w:val="24"/>
                </w:rPr>
                <w:t>2016年收入总额完成7088880.09万元,同比增长7.76,利润总额完成863185.89万,同比增长-511.97。2017年收入总额完成10700108.95万元,同比增长50.94,利润总额完成223679.99万,同比增长-74.09。2018年收入总额完成5288.29万元,同比增长-99.95,利润总额完成-553.49万,同比增长-100.25。如下图:</w:t>
            </w:r>
            <w:r w:rsidR="00103822" w:rsidRPr="00B815CE">
                <w:rPr>
                    <w:sz w:val="24"/>
                    <w:szCs w:val="24"/>
                </w:rPr>
                <w:t>：</w:t>
            </w:r>
        </w:p>
        <w:p w:rsidR="008923A1" w:rsidRPr="00B815CE" w:rsidRDefault="008923A1" w:rsidP="00B815CE">
            <w:pPr>
                <w:jc w:val="center"/>
                <w:rPr>
                    <w:b/>
                </w:rPr>
            </w:pPr>
            <w:r w:rsidRPr="00B815CE">
                <w:rPr>
                    <w:rFonts w:hint="eastAsia"/>
                    <w:b/>
                </w:rPr>
                <w:t>近三年汇缴税源变化情况表：</w:t>
            </w:r>
            <w:proofErr w:type="gramStart"/>
        </w:p>
        <w:tbl>
            <w:tblPr>
                <w:tblW w:w="8040" w:type="dxa"/>
                <w:tblLook w:val="04A0" w:firstRow="1" w:lastRow="0" w:firstColumn="1" w:lastColumn="0" w:noHBand="0" w:noVBand="1"/>
            </w:tblPr>
            <w:tblGrid>
                <w:gridCol w:w="1420"/>
                <w:gridCol w:w="1460"/>
                <w:gridCol w:w="1560"/>
                <w:gridCol w:w="1420"/>
                <w:gridCol w:w="2180"/>
            </w:tblGrid>
            <w:tr w:rsidR="006356F7" w:rsidRPr="006356F7" w:rsidTr="006356F7">
                <w:trPr>
                    <w:trHeight w:val="270"/>
                </w:trPr>
                <w:tc>
                    <w:tcPr>
                        <w:tcW w:w="1420" w:type="dxa"/>
                        <w:tcBorders>
                            <w:top w:val="nil"/>
                            <w:left w:val="nil"/>
                            <w:bottom w:val="nil"/>
                            <w:right w:val="nil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kern w:val="0"/>
                                <w:sz w:val="24"/>
                                <w:szCs w:val="24"/>
                            </w:rPr>
                        </w:pPr>
                    </w:p>
                </w:tc>
                <w:tc>
                    <w:tcPr>
                        <w:tcW w:w="1460" w:type="dxa"/>
                        <w:tcBorders>
                            <w:top w:val="nil"/>
                            <w:left w:val="nil"/>
                            <w:bottom w:val="nil"/>
                            <w:right w:val="nil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Times New Roman" w:eastAsia="Times New Roman" w:hAnsi="Times New Roman" w:cs="Times New Roman"/>
                                <w:kern w:val="0"/>
                                <w:sz w:val="20"/>
                                <w:szCs w:val="20"/>
                            </w:rPr>
                        </w:pPr>
                    </w:p>
                </w:tc>
                <w:tc>
                    <w:tcPr>
                        <w:tcW w:w="1560" w:type="dxa"/>
                        <w:tcBorders>
                            <w:top w:val="nil"/>
                            <w:left w:val="nil"/>
                            <w:bottom w:val="nil"/>
                            <w:right w:val="nil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Times New Roman" w:eastAsia="Times New Roman" w:hAnsi="Times New Roman" w:cs="Times New Roman"/>
                                <w:kern w:val="0"/>
                                <w:sz w:val="20"/>
                                <w:szCs w:val="20"/>
                            </w:rPr>
                        </w:pPr>
                    </w:p>
                </w:tc>
                <w:tc>
                    <w:tcPr>
                        <w:tcW w:w="1420" w:type="dxa"/>
                        <w:tcBorders>
                            <w:top w:val="nil"/>
                            <w:left w:val="nil"/>
                            <w:bottom w:val="nil"/>
                            <w:right w:val="nil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Times New Roman" w:eastAsia="Times New Roman" w:hAnsi="Times New Roman" w:cs="Times New Roman"/>
                                <w:kern w:val="0"/>
                                <w:sz w:val="20"/>
                                <w:szCs w:val="20"/>
                            </w:rPr>
                        </w:pPr>
                    </w:p>
                </w:tc>
                <w:tc>
                    <w:tcPr>
                        <w:tcW w:w="2180" w:type="dxa"/>
                        <w:tcBorders>
                            <w:top w:val="nil"/>
                            <w:left w:val="nil"/>
                            <w:bottom w:val="nil"/>
                            <w:right w:val="nil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单位：万元</w:t>
                        </w:r>
                    </w:p>
                </w:tc>
            </w:tr>
            <w:tr w:rsidR="006356F7" w:rsidRPr="006356F7" w:rsidTr="006356F7">
                <w:trPr>
                    <w:trHeight w:val="402"/>
                </w:trPr>
                <w:tc>
                    <w:tcPr>
                        <w:tcW w:w="1420" w:type="dxa"/>
                        <w:tcBorders>
                            <w:top w:val="single" w:sz="4" w:space="0" w:color="auto"/>
                            <w:left w:val="single" w:sz="4" w:space="0" w:color="auto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    <w:t>年度</w:t>
                        </w:r>
                    </w:p>
                </w:tc>
                <w:tc>
                    <w:tcPr>
                        <w:tcW w:w="1460" w:type="dxa"/>
                        <w:tcBorders>
                            <w:top w:val="single" w:sz="4" w:space="0" w:color="auto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    <w:t>收入总额</w:t>
                        </w:r>
                    </w:p>
                </w:tc>
                <w:tc>
                    <w:tcPr>
                        <w:tcW w:w="1560" w:type="dxa"/>
                        <w:tcBorders>
                            <w:top w:val="single" w:sz="4" w:space="0" w:color="auto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    <w:t>同比增长率</w:t>
                        </w:r>
                    </w:p>
                </w:tc>
                <w:tc>
                    <w:tcPr>
                        <w:tcW w:w="1420" w:type="dxa"/>
                        <w:tcBorders>
                            <w:top w:val="single" w:sz="4" w:space="0" w:color="auto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    <w:t>利润总额</w:t>
                        </w:r>
                    </w:p>
                </w:tc>
                <w:tc>
                    <w:tcPr>
                        <w:tcW w:w="2180" w:type="dxa"/>
                        <w:tcBorders>
                            <w:top w:val="single" w:sz="4" w:space="0" w:color="auto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b/>
                                <w:bCs/>
                                <w:color w:val="000000"/>
                                <w:kern w:val="0"/>
                                <w:sz w:val="22"/>
                            </w:rPr>
                            <w:t>同比增长率</w:t>
                        </w:r>
                    </w:p>
                </w:tc>
            </w:tr>
            <w:tr w:rsidR="006356F7" w:rsidRPr="006356F7" w:rsidTr="006356F7">
                <w:trPr>
                    <w:trHeight w:val="402"/>
                </w:trPr>
                <w:tc>
                    <w:tcPr>
                        <w:tcW w:w="1420" w:type="dxa"/>
                        <w:tcBorders>
                            <w:top w:val="nil"/>
                            <w:left w:val="single" w:sz="4" w:space="0" w:color="auto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2016年</w:t>
                        </w:r>
                    </w:p>
                </w:tc>
                <w:tc>
                    <w:tcPr>
                        <w:tcW w:w="146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7,088,880.09</w:t>
                        </w:r>
                    </w:p>
                </w:tc>
                <w:tc>
                    <w:tcPr>
                        <w:tcW w:w="156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7.76</w:t>
                        </w:r>
                    </w:p>
                </w:tc>
                <w:tc>
                    <w:tcPr>
                        <w:tcW w:w="142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863,185.89</w:t>
                        </w:r>
                    </w:p>
                </w:tc>
                <w:tc>
                    <w:tcPr>
                        <w:tcW w:w="218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-511.97</w:t>
                        </w:r>
                    </w:p>
                </w:tc>
            </w:tr>
            <w:tr w:rsidR="006356F7" w:rsidRPr="006356F7" w:rsidTr="006356F7">
                <w:trPr>
                    <w:trHeight w:val="402"/>
                </w:trPr>
                <w:tc>
                    <w:tcPr>
                        <w:tcW w:w="1420" w:type="dxa"/>
                        <w:tcBorders>
                            <w:top w:val="nil"/>
                            <w:left w:val="single" w:sz="4" w:space="0" w:color="auto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2017年</w:t>
                        </w:r>
                    </w:p>
                </w:tc>
                <w:tc>
                    <w:tcPr>
                        <w:tcW w:w="146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10,700,108.95</w:t>
                        </w:r>
                    </w:p>
                </w:tc>
                <w:tc>
                    <w:tcPr>
                        <w:tcW w:w="156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50.94</w:t>
                        </w:r>
                    </w:p>
                </w:tc>
                <w:tc>
                    <w:tcPr>
                        <w:tcW w:w="142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223,679.99</w:t>
                        </w:r>
                    </w:p>
                </w:tc>
                <w:tc>
                    <w:tcPr>
                        <w:tcW w:w="218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-74.09</w:t>
                        </w:r>
                    </w:p>
                </w:tc>
            </w:tr>
            <w:tr w:rsidR="006356F7" w:rsidRPr="006356F7" w:rsidTr="006356F7">
                <w:trPr>
                    <w:trHeight w:val="402"/>
                </w:trPr>
                <w:tc>
                    <w:tcPr>
                        <w:tcW w:w="1420" w:type="dxa"/>
                        <w:tcBorders>
                            <w:top w:val="nil"/>
                            <w:left w:val="single" w:sz="4" w:space="0" w:color="auto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lef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2018年</w:t>
                        </w:r>
                    </w:p>
                </w:tc>
                <w:tc>
                    <w:tcPr>
                        <w:tcW w:w="146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5,288.29</w:t>
                        </w:r>
                    </w:p>
                </w:tc>
                <w:tc>
                    <w:tcPr>
                        <w:tcW w:w="156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-99.95</w:t>
                        </w:r>
                    </w:p>
                </w:tc>
                <w:tc>
                    <w:tcPr>
                        <w:tcW w:w="142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-553.49</w:t>
                        </w:r>
                    </w:p>
                </w:tc>
                <w:tc>
                    <w:tcPr>
                        <w:tcW w:w="2180" w:type="dxa"/>
                        <w:tcBorders>
                            <w:top w:val="nil"/>
                            <w:left w:val="nil"/>
                            <w:bottom w:val="single" w:sz="4" w:space="0" w:color="auto"/>
                            <w:right w:val="single" w:sz="4" w:space="0" w:color="auto"/>
                        </w:tcBorders>
                        <w:shd w:val="clear" w:color="auto" w:fill="auto"/>
                        <w:noWrap/>
                        <w:vAlign w:val="bottom"/>
                        <w:hideMark/>
                    </w:tcPr>
                    <w:p w:rsidR="006356F7" w:rsidRPr="006356F7" w:rsidRDefault="006356F7" w:rsidP="006356F7">
                        <w:pPr>
                            <w:widowControl/>
                            <w:jc w:val="right"/>
                            <w:rPr>
                                <w:rFonts w:ascii="宋体" w:eastAsia="宋体" w:hAnsi="宋体" w:cs="宋体"/>
                                <w:color w:val="000000"/>
                                <w:kern w:val="0"/>
                                <w:sz w:val="22"/>
                            </w:rPr>
                        </w:pPr>
                        <w:r w:rsidRPr="006356F7">
                            <w:rPr>
                                <w:rFonts w:ascii="宋体" w:eastAsia="宋体" w:hAnsi="宋体" w:cs="宋体" w:hint="eastAsia"/>
                                <w:color w:val="000000"/>
                                <w:kern w:val="0"/>
                                <w:sz w:val="22"/>
                            </w:rPr>
                            <w:t>-100.25</w:t>
                        </w:r>
                    </w:p>
                </w:tc>
            </w:tr>
    </w:tbl>
    <w:p w:rsidR="008923A1" w:rsidRDefault="008923A1"/>
    <w:p w:rsidR="008923A1" w:rsidRPr="00B815CE" w:rsidRDefault="008923A1" w:rsidP="00B815CE">
        <w:pPr>
            <w:jc w:val="center"/>
            <w:rPr>
                <w:b/>
            </w:rPr>
        </w:pPr>
        <w:r w:rsidRPr="00B815CE">
            <w:rPr>
                <w:rFonts w:hint="eastAsia"/>
                <w:b/>
            </w:rPr>
            <w:t>近三年汇缴税源变化趋势图：</w:t>
        </w:r>
    </w:p>

Expression picNamelist is undefined on line 661, column 12 in freemarker/hjsy2007/document.xml.
The problematic instruction:
----------
==> list picNamelist as img_warn [on line 661, column 5 in freemarker/hjsy2007/document.xml]
----------

Java backtrace for programmers:
----------
freemarker.core.InvalidReferenceException: Expression picNamelist is undefined on line 661, column 12 in freemarker/hjsy2007/document.xml.
	at freemarker.core.TemplateObject.assertNonNull(TemplateObject.java:125)
	at freemarker.core.IteratorBlock.accept(IteratorBlock.java:100)
	at freemarker.core.Environment.visit(Environment.java:221)
	at freemarker.core.MixedContent.accept(MixedContent.java:92)
	at freemarker.core.Environment.visit(Environment.java:221)
	at freemarker.core.Environment.process(Environment.java:199)
	at freemarker.template.Template.process(Template.java:259)
	at cn.com.servyou.yjscbg.manage.FreeMarkerManage.createTemplateXml(FreeMarkerManage.java:103)
	at cn.com.servyou.yjscbg.docproducer.Doc2007ProducerImpl.create(Doc2007ProducerImpl.java:78)
	at cn.com.servyou.yjscbg.parsers.AbstractDocParser.createDoc(AbstractDocParser.java:96)
	at cn.com.servyou.yjscbg.services.impl.YjScbgServiceImpl.doCreateDoc(YjScbgServiceImpl.java:50)
	at sun.reflect.NativeMethodAccessorImpl.invoke0(Native Method)
	at sun.reflect.NativeMethodAccessorImpl.invoke(NativeMethodAccessorImpl.java:39)
	at sun.reflect.DelegatingMethodAccessorImpl.invoke(DelegatingMethodAccessorImpl.java:25)
	at java.lang.reflect.Method.invoke(Method.java:597)
	at org.springframework.aop.support.AopUtils.invokeJoinpointUsingReflection(AopUtils.java:302)
	at org.springframework.aop.framework.JdkDynamicAopProxy.invoke(JdkDynamicAopProxy.java:202)
	at $Proxy71.doCreateDoc(Unknown Source)
	at cn.com.servyou.yjscbg.controller.YjScbgController.doCreateDoc(YjScbgController.java:47)
	at sun.reflect.NativeMethodAccessorImpl.invoke0(Native Method)
	at sun.reflect.NativeMethodAccessorImpl.invoke(NativeMethodAccessorImpl.java:39)
	at sun.reflect.DelegatingMethodAccessorImpl.invoke(DelegatingMethodAccessorImpl.java:25)
	at java.lang.reflect.Method.invoke(Method.java:597)
	at org.springframework.web.method.support.InvocableHandlerMethod.doInvoke(InvocableHandlerMethod.java:221)
	at org.springframework.web.method.support.InvocableHandlerMethod.invokeForRequest(InvocableHandlerMethod.java:136)
	at org.springframework.web.servlet.mvc.method.annotation.ServletInvocableHandlerMethod.invokeAndHandle(ServletInvocableHandlerMethod.java:110)
	at org.springframework.web.servlet.mvc.method.annotation.RequestMappingHandlerAdapter.invokeHandlerMethod(RequestMappingHandlerAdapter.java:832)
	at org.springframework.web.servlet.mvc.method.annotation.RequestMappingHandlerAdapter.handleInternal(RequestMappingHandlerAdapter.java:743)
	at org.springframework.web.servlet.mvc.method.AbstractHandlerMethodAdapter.handle(AbstractHandlerMethodAdapter.java:85)
	at org.springframework.web.servlet.DispatcherServlet.doDispatch(DispatcherServlet.java:961)
	at org.springframework.web.servlet.DispatcherServlet.doService(DispatcherServlet.java:895)
	at org.springframework.web.servlet.FrameworkServlet.processRequest(FrameworkServlet.java:967)
	at org.springframework.web.servlet.FrameworkServlet.doGet(FrameworkServlet.java:858)
	at javax.servlet.http.HttpServlet.service(HttpServlet.java:707)
	at org.springframework.web.servlet.FrameworkServlet.service(FrameworkServlet.java:843)
	at javax.servlet.http.HttpServlet.service(HttpServlet.java:820)
	at weblogic.servlet.internal.StubSecurityHelper$ServletServiceAction.run(StubSecurityHelper.java:227)
	at weblogic.servlet.internal.StubSecurityHelper.invokeServlet(StubSecurityHelper.java:125)
	at weblogic.servlet.internal.ServletStubImpl.execute(ServletStubImpl.java:300)
	at weblogic.servlet.internal.TailFilter.doFilter(TailFilter.java:26)
	at weblogic.servlet.internal.FilterChainImpl.doFilter(FilterChainImpl.java:56)
	at cn.com.jdls.foundation.web.EncodingFilter.doFilter(EncodingFilter.java:37)
	at weblogic.servlet.internal.FilterChainImpl.doFilter(FilterChainImpl.java:56)
	at cn.com.jdls.foundation.web.EncodingFilter.doFilter(EncodingFilter.java:37)
	at weblogic.servlet.internal.FilterChainImpl.doFilter(FilterChainImpl.java:56)
	at cn.com.servyou.portal.client.sso.SSOFilter.doFilter(SSOFilter.java:96)
	at weblogic.servlet.internal.FilterChainImpl.doFilter(FilterChainImpl.java:56)
	at cn.com.servyou.webfaster.RoutesForwardFilter.doFilter(RoutesForwardFilter.java:52)
	at weblogic.servlet.internal.FilterChainImpl.doFilter(FilterChainImpl.java:56)
	at weblogic.servlet.internal.WebAppServletContext$ServletInvocationAction.wrapRun(WebAppServletContext.java:3715)
	at weblogic.servlet.internal.WebAppServletContext$ServletInvocationAction.run(WebAppServletContext.java:3681)
	at weblogic.security.acl.internal.AuthenticatedSubject.doAs(AuthenticatedSubject.java:321)
	at weblogic.security.service.SecurityManager.runAs(SecurityManager.java:120)
	at weblogic.servlet.internal.WebAppServletContext.securedExecute(WebAppServletContext.java:2277)
	at weblogic.servlet.internal.WebAppServletContext.execute(WebAppServletContext.java:2183)
	at weblogic.servlet.internal.ServletRequestImpl.run(ServletRequestImpl.java:1454)
	at weblogic.work.ExecuteThread.execute(ExecuteThread.java:207)
	at weblogic.work.ExecuteThread.run(ExecuteThread.java:176)
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27502"/>
    <w:multiLevelType w:val="multilevel"/>
    <w:tmpl w:val="0BE25022"/>
    <w:lvl w:ilvl="0">
      <w:start w:val="1"/>
      <w:numFmt w:val="decimal"/>
      <w:pStyle w:val="1"/>
      <w:suff w:val="nothing"/>
      <w:lvlText w:val="第%1章 "/>
      <w:lvlJc w:val="left"/>
      <w:pPr>
        <w:ind w:left="1560" w:hanging="567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0"/>
        <w:szCs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134" w:firstLine="0"/>
      </w:pPr>
      <w:rPr>
        <w:rFonts w:ascii="宋体" w:eastAsia="宋体" w:hAnsi="宋体" w:hint="eastAsia"/>
        <w:b/>
        <w:sz w:val="28"/>
      </w:rPr>
    </w:lvl>
    <w:lvl w:ilvl="5">
      <w:start w:val="1"/>
      <w:numFmt w:val="decimal"/>
      <w:lvlText w:val="%6.%1.%2.%3.%4.1"/>
      <w:lvlJc w:val="left"/>
      <w:pPr>
        <w:ind w:left="1134" w:firstLine="0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0"/>
        </w:tabs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552"/>
        </w:tabs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693"/>
        </w:tabs>
        <w:ind w:left="2693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7D"/>
    <w:rsid w:val="00103822"/>
    <w:rsid w:val="00194CF8"/>
    <w:rsid w:val="003860C6"/>
    <w:rsid w:val="00397E17"/>
    <w:rsid w:val="003D2C3F"/>
    <w:rsid w:val="004B0F8E"/>
    <w:rsid w:val="00554761"/>
    <w:rsid w:val="006356F7"/>
    <w:rsid w:val="0064672A"/>
    <w:rsid w:val="006B2317"/>
    <w:rsid w:val="006E6EF1"/>
    <w:rsid w:val="0075286E"/>
    <w:rsid w:val="007825AD"/>
    <w:rsid w:val="007B1C7D"/>
    <w:rsid w:val="008513E1"/>
    <w:rsid w:val="00853C2E"/>
    <w:rsid w:val="008923A1"/>
    <w:rsid w:val="009B72E6"/>
    <w:rsid w:val="00A00C67"/>
    <w:rsid w:val="00AE0529"/>
    <w:rsid w:val="00B815CE"/>
    <w:rsid w:val="00E03000"/>
    <w:rsid w:val="00FC296C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E6D0F-5896-4A2D-81E2-042F8145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B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B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标题1"/>
    <w:basedOn w:val="10"/>
    <w:next w:val="a"/>
    <w:link w:val="1Char0"/>
    <w:rsid w:val="004B0F8E"/>
    <w:pPr>
      <w:pageBreakBefore/>
      <w:numPr>
        <w:numId w:val="2"/>
      </w:numPr>
      <w:jc w:val="center"/>
    </w:pPr>
    <w:rPr>
      <w:rFonts w:ascii="Arial" w:eastAsia="宋体" w:hAnsi="Arial" w:cs="Times New Roman"/>
      <w:lang w:val="x-none" w:eastAsia="x-none"/>
    </w:rPr>
  </w:style>
  <w:style w:type="character" w:customStyle="1" w:styleId="1Char0">
    <w:name w:val="_标题1 Char"/>
    <w:link w:val="1"/>
    <w:rsid w:val="004B0F8E"/>
    <w:rPr>
      <w:rFonts w:ascii="Arial" w:eastAsia="宋体" w:hAnsi="Arial" w:cs="Times New Roman"/>
      <w:b/>
      <w:bCs/>
      <w:kern w:val="44"/>
      <w:sz w:val="44"/>
      <w:szCs w:val="44"/>
      <w:lang w:val="x-none" w:eastAsia="x-none"/>
    </w:rPr>
  </w:style>
  <w:style w:type="character" w:customStyle="1" w:styleId="1Char">
    <w:name w:val="标题 1 Char"/>
    <w:basedOn w:val="a0"/>
    <w:link w:val="10"/>
    <w:uiPriority w:val="9"/>
    <w:rsid w:val="004B0F8E"/>
    <w:rPr>
      <w:b/>
      <w:bCs/>
      <w:kern w:val="44"/>
      <w:sz w:val="44"/>
      <w:szCs w:val="44"/>
    </w:rPr>
  </w:style>
  <w:style w:type="paragraph" w:customStyle="1" w:styleId="2">
    <w:name w:val="_标题2"/>
    <w:basedOn w:val="20"/>
    <w:next w:val="a"/>
    <w:link w:val="2Char0"/>
    <w:rsid w:val="004B0F8E"/>
    <w:pPr>
      <w:numPr>
        <w:ilvl w:val="1"/>
        <w:numId w:val="2"/>
      </w:numPr>
      <w:spacing w:beforeLines="50" w:before="156" w:afterLines="50" w:after="156"/>
    </w:pPr>
    <w:rPr>
      <w:rFonts w:ascii="Tahoma" w:eastAsia="宋体" w:hAnsi="Tahoma" w:cs="Times New Roman"/>
      <w:sz w:val="36"/>
      <w:lang w:val="x-none" w:eastAsia="x-none"/>
    </w:rPr>
  </w:style>
  <w:style w:type="character" w:customStyle="1" w:styleId="2Char0">
    <w:name w:val="_标题2 Char"/>
    <w:link w:val="2"/>
    <w:rsid w:val="004B0F8E"/>
    <w:rPr>
      <w:rFonts w:ascii="Tahoma" w:eastAsia="宋体" w:hAnsi="Tahoma" w:cs="Times New Roman"/>
      <w:b/>
      <w:bCs/>
      <w:sz w:val="36"/>
      <w:szCs w:val="32"/>
      <w:lang w:val="x-none" w:eastAsia="x-none"/>
    </w:rPr>
  </w:style>
  <w:style w:type="character" w:customStyle="1" w:styleId="2Char">
    <w:name w:val="标题 2 Char"/>
    <w:basedOn w:val="a0"/>
    <w:link w:val="20"/>
    <w:uiPriority w:val="9"/>
    <w:semiHidden/>
    <w:rsid w:val="004B0F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513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3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513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513E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
    xmlns="http://schemas.openxmlformats.org/package/2006/relationships">
    <Relationship Id="rId3" Type="http://schemas.openxmlformats.org/officeDocument/2006/relationships/settings" Target="settings.xml"/>
    <Relationship Id="rId7" Type="http://schemas.openxmlformats.org/officeDocument/2006/relationships/theme" Target="theme/theme1.xml"/>
    <Relationship Id="rId2" Type="http://schemas.openxmlformats.org/officeDocument/2006/relationships/styles" Target="styles.xml"/>
    <Relationship Id="rId1" Type="http://schemas.openxmlformats.org/officeDocument/2006/relationships/numbering" Target="numbering.xml"/>
    <Relationship Id="rId6" Type="http://schemas.openxmlformats.org/officeDocument/2006/relationships/fontTable" Target="fontTable.xml"/>
    
Expression picNamelist is undefined on line 9, column 12 in freemarker/hjsy2007/document.xml.rels.
The problematic instruction:
----------
==> list picNamelist as pic [on line 9, column 5 in freemarker/hjsy2007/document.xml.rels]
----------

Java backtrace for programmers:
----------
freemarker.core.InvalidReferenceException: Expression picNamelist is undefined on line 9, column 12 in freemarker/hjsy2007/document.xml.rels.
	at freemarker.core.TemplateObject.assertNonNull(TemplateObject.java:125)
	at freemarker.core.IteratorBlock.accept(IteratorBlock.java:100)
	at freemarker.core.Environment.visit(Environment.java:221)
	at freemarker.core.MixedContent.accept(MixedContent.java:92)
	at freemarker.core.Environment.visit(Environment.java:221)
	at freemarker.core.Environment.process(Environment.java:199)
	at freemarker.template.Template.process(Template.java:259)
	at cn.com.servyou.yjscbg.manage.FreeMarkerManage.createTemplateXml(FreeMarkerManage.java:103)
	at cn.com.servyou.yjscbg.docproducer.Doc2007ProducerImpl.create(Doc2007ProducerImpl.java:43)
	at cn.com.servyou.yjscbg.parsers.AbstractDocParser.createDoc(AbstractDocParser.java:96)
	at cn.com.servyou.yjscbg.services.impl.YjScbgServiceImpl.doCreateDoc(YjScbgServiceImpl.java:50)
	at sun.reflect.NativeMethodAccessorImpl.invoke0(Native Method)
	at sun.reflect.NativeMethodAccessorImpl.invoke(NativeMethodAccessorImpl.java:39)
	at sun.reflect.DelegatingMethodAccessorImpl.invoke(DelegatingMethodAccessorImpl.java:25)
	at java.lang.reflect.Method.invoke(Method.java:597)
	at org.springframework.aop.support.AopUtils.invokeJoinpointUsingReflection(AopUtils.java:302)
	at org.springframework.aop.framework.JdkDynamicAopProxy.invoke(JdkDynamicAopProxy.java:202)
	at $Proxy71.doCreateDoc(Unknown Source)
	at cn.com.servyou.yjscbg.controller.YjScbgController.doCreateDoc(YjScbgController.java:47)
	at sun.reflect.NativeMethodAccessorImpl.invoke0(Native Method)
	at sun.reflect.NativeMethodAccessorImpl.invoke(NativeMethodAccessorImpl.java:39)
	at sun.reflect.DelegatingMethodAccessorImpl.invoke(DelegatingMethodAccessorImpl.java:25)
	at java.lang.reflect.Method.invoke(Method.java:597)
	at org.springframework.web.method.support.InvocableHandlerMethod.doInvoke(InvocableHandlerMethod.java:221)
	at org.springframework.web.method.support.InvocableHandlerMethod.invokeForRequest(InvocableHandlerMethod.java:136)
	at org.springframework.web.servlet.mvc.method.annotation.ServletInvocableHandlerMethod.invokeAndHandle(ServletInvocableHandlerMethod.java:110)
	at org.springframework.web.servlet.mvc.method.annotation.RequestMappingHandlerAdapter.invokeHandlerMethod(RequestMappingHandlerAdapter.java:832)
	at org.springframework.web.servlet.mvc.method.annotation.RequestMappingHandlerAdapter.handleInternal(RequestMappingHandlerAdapter.java:743)
	at org.springframework.web.servlet.mvc.method.AbstractHandlerMethodAdapter.handle(AbstractHandlerMethodAdapter.java:85)
	at org.springframework.web.servlet.DispatcherServlet.doDispatch(DispatcherServlet.java:961)
	at org.springframework.web.servlet.DispatcherServlet.doService(DispatcherServlet.java:895)
	at org.springframework.web.servlet.FrameworkServlet.processRequest(FrameworkServlet.java:967)
	at org.springframework.web.servlet.FrameworkServlet.doGet(FrameworkServlet.java:858)
	at javax.servlet.http.HttpServlet.service(HttpServlet.java:707)
	at org.springframework.web.servlet.FrameworkServlet.service(FrameworkServlet.java:843)
	at javax.servlet.http.HttpServlet.service(HttpServlet.java:820)
	at weblogic.servlet.internal.StubSecurityHelper$ServletServiceAction.run(StubSecurityHelper.java:227)
	at weblogic.servlet.internal.StubSecurityHelper.invokeServlet(StubSecurityHelper.java:125)
	at weblogic.servlet.internal.ServletStubImpl.execute(ServletStubImpl.java:300)
	at weblogic.servlet.internal.TailFilter.doFilter(TailFilter.java:26)
	at weblogic.servlet.internal.FilterChainImpl.doFilter(FilterChainImpl.java:56)
	at cn.com.jdls.foundation.web.EncodingFilter.doFilter(EncodingFilter.java:37)
	at weblogic.servlet.internal.FilterChainImpl.doFilter(FilterChainImpl.java:56)
	at cn.com.jdls.foundation.web.EncodingFilter.doFilter(EncodingFilter.java:37)
	at weblogic.servlet.internal.FilterChainImpl.doFilter(FilterChainImpl.java:56)
	at cn.com.servyou.portal.client.sso.SSOFilter.doFilter(SSOFilter.java:96)
	at weblogic.servlet.internal.FilterChainImpl.doFilter(FilterChainImpl.java:56)
	at cn.com.servyou.webfaster.RoutesForwardFilter.doFilter(RoutesForwardFilter.java:52)
	at weblogic.servlet.internal.FilterChainImpl.doFilter(FilterChainImpl.java:56)
	at weblogic.servlet.internal.WebAppServletContext$ServletInvocationAction.wrapRun(WebAppServletContext.java:3715)
	at weblogic.servlet.internal.WebAppServletContext$ServletInvocationAction.run(WebAppServletContext.java:3681)
	at weblogic.security.acl.internal.AuthenticatedSubject.doAs(AuthenticatedSubject.java:321)
	at weblogic.security.service.SecurityManager.runAs(SecurityManager.java:120)
	at weblogic.servlet.internal.WebAppServletContext.securedExecute(WebAppServletContext.java:2277)
	at weblogic.servlet.internal.WebAppServletContext.execute(WebAppServletContext.java:2183)
	at weblogic.servlet.internal.ServletRequestImpl.run(ServletRequestImpl.java:1454)
	at weblogic.work.ExecuteThread.execute(ExecuteThread.java:207)
	at weblogic.work.ExecuteThread.run(ExecuteThread.java:176)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Sky123.Org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</dc:creator>
  <cp:keywords/>
  <dc:description/>
  <cp:lastModifiedBy>haozb</cp:lastModifiedBy>
  <cp:revision>1</cp:revision>
  <dcterms:created xsi:type="dcterms:W3CDTF">2018-08-06T02:24:00Z</dcterms:created>
  <dcterms:modified xsi:type="dcterms:W3CDTF">2018-08-06T02:24:00Z</dcterms:modified>
</cp:coreProperties>
</file>