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FEC50">
      <w:pPr>
        <w:spacing w:before="100" w:after="100"/>
        <w:jc w:val="both"/>
      </w:pPr>
    </w:p>
    <w:p w14:paraId="5E4180C1">
      <w:pPr>
        <w:spacing w:before="100" w:after="100"/>
        <w:jc w:val="both"/>
      </w:pPr>
    </w:p>
    <w:p w14:paraId="6F51EC59">
      <w:pPr>
        <w:spacing w:before="160" w:after="160" w:line="480" w:lineRule="auto"/>
        <w:jc w:val="center"/>
      </w:pPr>
      <w:r>
        <w:rPr>
          <w:rFonts w:ascii="仿宋" w:hAnsi="仿宋" w:eastAsia="仿宋" w:cs="仿宋"/>
          <w:b/>
          <w:bCs/>
          <w:sz w:val="44"/>
          <w:szCs w:val="44"/>
        </w:rPr>
        <w:t>企业级通用多Agent数字员工平台可行性及落地实施方案</w:t>
      </w:r>
    </w:p>
    <w:p w14:paraId="4FC00107">
      <w:pPr>
        <w:spacing w:before="100" w:after="100"/>
        <w:jc w:val="both"/>
      </w:pPr>
    </w:p>
    <w:p w14:paraId="54757C27">
      <w:pPr>
        <w:spacing w:before="100" w:after="100"/>
        <w:jc w:val="both"/>
      </w:pPr>
    </w:p>
    <w:p w14:paraId="21036A8A">
      <w:pPr>
        <w:spacing w:before="100" w:after="100"/>
        <w:jc w:val="both"/>
      </w:pP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6633"/>
      </w:tblGrid>
      <w:tr w14:paraId="0DC48099"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A74B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文件属性</w:t>
            </w:r>
          </w:p>
        </w:tc>
        <w:tc>
          <w:tcPr>
            <w:tcW w:w="66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7A49B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内容</w:t>
            </w:r>
          </w:p>
        </w:tc>
      </w:tr>
      <w:tr w14:paraId="2D5E5382"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DB5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文档密级</w:t>
            </w:r>
          </w:p>
        </w:tc>
        <w:tc>
          <w:tcPr>
            <w:tcW w:w="66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F87F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内部资料</w:t>
            </w:r>
          </w:p>
        </w:tc>
      </w:tr>
      <w:tr w14:paraId="65FEB159"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2B2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适用范围</w:t>
            </w:r>
          </w:p>
        </w:tc>
        <w:tc>
          <w:tcPr>
            <w:tcW w:w="66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6CD1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通用数字员工体系、多Agent流程编排、跨场景业务自动化、人机协同监管、权限审计与持续运营</w:t>
            </w:r>
          </w:p>
        </w:tc>
      </w:tr>
      <w:tr w14:paraId="777221F7"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A001B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编制日期</w:t>
            </w:r>
          </w:p>
        </w:tc>
        <w:tc>
          <w:tcPr>
            <w:tcW w:w="66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758C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2026年5月12日</w:t>
            </w:r>
          </w:p>
        </w:tc>
      </w:tr>
      <w:tr w14:paraId="298C4C59"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84E3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版本</w:t>
            </w:r>
          </w:p>
        </w:tc>
        <w:tc>
          <w:tcPr>
            <w:tcW w:w="66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6BF8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V1.3</w:t>
            </w:r>
          </w:p>
        </w:tc>
      </w:tr>
    </w:tbl>
    <w:p w14:paraId="1CC91CB5">
      <w:pPr>
        <w:spacing w:before="100" w:after="100"/>
        <w:jc w:val="both"/>
      </w:pPr>
    </w:p>
    <w:p w14:paraId="54DC4E57">
      <w:pPr>
        <w:spacing w:before="100" w:after="100"/>
        <w:jc w:val="both"/>
      </w:pPr>
    </w:p>
    <w:p w14:paraId="28C3C4E2">
      <w:pPr>
        <w:spacing w:before="80" w:after="80"/>
        <w:jc w:val="center"/>
      </w:pPr>
      <w:r>
        <w:rPr>
          <w:rFonts w:ascii="仿宋" w:hAnsi="仿宋" w:eastAsia="仿宋" w:cs="仿宋"/>
          <w:sz w:val="28"/>
          <w:szCs w:val="28"/>
        </w:rPr>
        <w:t>编制单位：幻谱科技</w:t>
      </w:r>
    </w:p>
    <w:p w14:paraId="03B3A7D6">
      <w:pPr>
        <w:sectPr>
          <w:pgSz w:w="11906" w:h="16838"/>
          <w:pgMar w:top="2098" w:right="1474" w:bottom="1984" w:left="1588" w:header="708" w:footer="708" w:gutter="0"/>
          <w:cols w:space="720" w:num="1"/>
          <w:docGrid w:linePitch="360" w:charSpace="0"/>
        </w:sectPr>
      </w:pPr>
    </w:p>
    <w:p w14:paraId="0E654175">
      <w:pPr>
        <w:pStyle w:val="2"/>
        <w:pageBreakBefore/>
        <w:spacing w:before="280" w:after="180" w:line="420" w:lineRule="auto"/>
      </w:pPr>
      <w:r>
        <w:rPr>
          <w:rFonts w:ascii="仿宋" w:hAnsi="仿宋" w:eastAsia="仿宋" w:cs="仿宋"/>
          <w:b/>
          <w:bCs/>
          <w:sz w:val="32"/>
          <w:szCs w:val="32"/>
        </w:rPr>
        <w:t>一、项目背景与建设必要性</w:t>
      </w:r>
    </w:p>
    <w:p w14:paraId="0A4E5E9A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（一）建设背景</w:t>
      </w:r>
    </w:p>
    <w:p w14:paraId="16E83271">
      <w:pPr>
        <w:spacing w:before="80" w:after="80" w:line="420" w:lineRule="auto"/>
        <w:jc w:val="both"/>
      </w:pPr>
      <w:r>
        <w:rPr>
          <w:rFonts w:ascii="仿宋" w:hAnsi="仿宋" w:eastAsia="仿宋" w:cs="仿宋"/>
          <w:sz w:val="28"/>
          <w:szCs w:val="28"/>
        </w:rPr>
        <w:t>企业级客户在采购、销售、项目交付、财务、人力、法务、客服和运营等工作中，普遍存在流程长、资料多、规则强、协同角色多、重复劳动多、审计要求高等特点。传统系统以表单、流程和人工审批为主，可以保证流程确定性，但在资料收集、信息核验、文档生成、跨系统查询、过程跟踪和经验复用等环节仍需要大量人工处理。</w:t>
      </w:r>
    </w:p>
    <w:p w14:paraId="30CCAE66">
      <w:pPr>
        <w:spacing w:before="80" w:after="80" w:line="420" w:lineRule="auto"/>
        <w:jc w:val="both"/>
      </w:pPr>
      <w:r>
        <w:rPr>
          <w:rFonts w:ascii="仿宋" w:hAnsi="仿宋" w:eastAsia="仿宋" w:cs="仿宋"/>
          <w:sz w:val="28"/>
          <w:szCs w:val="28"/>
        </w:rPr>
        <w:t>客户关注的是建设一套通用的多Agent数字员工平台：业务部门可以像使用数字员工一样，把不同岗位的重复性、规则性、资料性工作交给多个专业Agent协同完成；平台统一管理数字员工的职责、权限、工具、流程、知识、审核和审计。采购、知识检索、项目周报等场景可作为首批验证场景，共同验证平台在多角色协作、资料处理、规则校验和流程闭环方面的通用能力。</w:t>
      </w:r>
    </w:p>
    <w:p w14:paraId="39EBBFDD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（二）现状问题分析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3714"/>
        <w:gridCol w:w="3538"/>
      </w:tblGrid>
      <w:tr w14:paraId="74CF92C9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870D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问题点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7B16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具体表现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FC79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对客户的影响</w:t>
            </w:r>
          </w:p>
        </w:tc>
      </w:tr>
      <w:tr w14:paraId="3DCA5BC9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18C9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重复劳动多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2654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跨系统查询、资料整理、材料起草和流程跟踪依赖人工反复处理。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F2D2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业务响应周期长，人员精力被低价值重复工作占用。</w:t>
            </w:r>
          </w:p>
        </w:tc>
      </w:tr>
      <w:tr w14:paraId="08EABC5A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6C67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AI能力分散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0A06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不同部门各自试用单点AI工具，缺少统一入口、权限、审核和审计机制。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330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难以规模推广，也难以满足企业合规和责任追溯要求。</w:t>
            </w:r>
          </w:p>
        </w:tc>
      </w:tr>
      <w:tr w14:paraId="27E290AB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D04B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流程协同复杂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CA40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一个业务任务往往涉及多个岗位、多个系统和多个审批节点。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73F3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单一问答式AI难以处理多角色协作、状态流转和人工确认。</w:t>
            </w:r>
          </w:p>
        </w:tc>
      </w:tr>
      <w:tr w14:paraId="29D08135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B65E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经验难以沉淀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8124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规则、模板、提示词、处理经验和历史案例分散在个人或项目中。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1309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新增场景需要重复建设，平台化复用能力不足。</w:t>
            </w:r>
          </w:p>
        </w:tc>
      </w:tr>
      <w:tr w14:paraId="43E9970A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190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系统边界不清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12C0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AI能力如果直接替代原业务系统，容易触碰主数据、正式审批和生产写回边界。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B488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增加上线风险，客户对系统稳定性和责任归属有顾虑。</w:t>
            </w:r>
          </w:p>
        </w:tc>
      </w:tr>
      <w:tr w14:paraId="1D1E9632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721E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运营效果难衡量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1A81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AI使用过程缺少任务量、采纳率、修改率、风险命中和节省工时等指标。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358A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管理层难以判断投入产出，也难以决定后续推广节奏。</w:t>
            </w:r>
          </w:p>
        </w:tc>
      </w:tr>
    </w:tbl>
    <w:p w14:paraId="326A78D0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（三）建设目标</w:t>
      </w:r>
    </w:p>
    <w:p w14:paraId="06D68528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建设通用数字员工角色库，支持按岗位、流程和场景定义数字员工的职责、输入、输出、知识、工具、权限、禁止动作和评价指标。</w:t>
      </w:r>
    </w:p>
    <w:p w14:paraId="2F1E793A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建设多Agent流程编排能力，支持一个业务任务由多个数字员工按流程、状态机和人工审核节点协同完成。</w:t>
      </w:r>
    </w:p>
    <w:p w14:paraId="6324C294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建设企业知识与工具接入能力，让数字员工在授权范围内使用制度、模板、历史案例、业务系统接口和办公工具。</w:t>
      </w:r>
    </w:p>
    <w:p w14:paraId="62452115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建立人机协同机制，数字员工负责草稿、建议、检索、校验、汇总和生成，授权人员负责关键判断、正式审批和结果发布。</w:t>
      </w:r>
    </w:p>
    <w:p w14:paraId="18B7075F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建立可解释、可审计、可回滚、可追责的治理机制，完整记录输入、依据、模型输出、工具调用、规则命中、人工修改和最终版本。</w:t>
      </w:r>
    </w:p>
    <w:p w14:paraId="2D33E111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（四）建设价值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3361"/>
        <w:gridCol w:w="3891"/>
      </w:tblGrid>
      <w:tr w14:paraId="1A93645E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9B7E6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价值维度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357E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客户当前痛点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BDED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平台建成后的价值</w:t>
            </w:r>
          </w:p>
        </w:tc>
      </w:tr>
      <w:tr w14:paraId="328C3A7C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6DAB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效率提升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8704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大量跨系统查询、资料整理、材料起草和流程跟踪依赖人工重复处理。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C6F6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数字员工承担资料收集、初稿生成、规则预检和任务提醒，缩短从需求到材料初稿的时间。</w:t>
            </w:r>
          </w:p>
        </w:tc>
      </w:tr>
      <w:tr w14:paraId="07293157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0150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质量提升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E273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不同人员经验差异大，材料结构、字段完整性、引用依据和交付口径不稳定。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AFC9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通过流程模板、输出模板、规则库和知识引用，提升输出一致性和可复用性。</w:t>
            </w:r>
          </w:p>
        </w:tc>
      </w:tr>
      <w:tr w14:paraId="7AA64CBE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D80AD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合规可控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A602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AI能力分散使用时难以统一权限、审核、审计和责任边界。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0EBE8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平台统一管理数字员工权限、工具调用、人工审核、风险规则和审计留痕。</w:t>
            </w:r>
          </w:p>
        </w:tc>
      </w:tr>
      <w:tr w14:paraId="7F6318D8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5226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组织沉淀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7270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业务经验留在个人或项目中，难以形成可复制能力。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E70A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将数字员工角色、流程模板、知识规则和评测样例沉淀为企业AI能力资产。</w:t>
            </w:r>
          </w:p>
        </w:tc>
      </w:tr>
      <w:tr w14:paraId="6F11F5A1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895F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持续扩展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B167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单点AI工具难以支撑跨部门、跨流程推广。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3C0D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平台可持续新增数字员工和业务场景，逐步覆盖采购、销售、项目、财务、人力等流程。</w:t>
            </w:r>
          </w:p>
        </w:tc>
      </w:tr>
      <w:tr w14:paraId="57CF73B3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EFD3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管理可视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7CC4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管理层难以判断AI使用效果和投入产出。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C738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运营看板持续呈现任务量、采纳率、节省工时、风险命中和用户反馈。</w:t>
            </w:r>
          </w:p>
        </w:tc>
      </w:tr>
    </w:tbl>
    <w:p w14:paraId="1A9F0AF4">
      <w:pPr>
        <w:pStyle w:val="2"/>
        <w:pageBreakBefore/>
        <w:spacing w:before="280" w:after="180" w:line="420" w:lineRule="auto"/>
      </w:pPr>
      <w:r>
        <w:rPr>
          <w:rFonts w:ascii="仿宋" w:hAnsi="仿宋" w:eastAsia="仿宋" w:cs="仿宋"/>
          <w:b/>
          <w:bCs/>
          <w:sz w:val="32"/>
          <w:szCs w:val="32"/>
        </w:rPr>
        <w:t>二、需求理解、建设范围与可行性判断</w:t>
      </w:r>
    </w:p>
    <w:p w14:paraId="56117A66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（一）核心需求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3803"/>
        <w:gridCol w:w="3449"/>
      </w:tblGrid>
      <w:tr w14:paraId="22AE1923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FED8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需求方向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0DC9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需求说明</w:t>
            </w:r>
          </w:p>
        </w:tc>
        <w:tc>
          <w:tcPr>
            <w:tcW w:w="34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A4AC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关键产出</w:t>
            </w:r>
          </w:p>
        </w:tc>
      </w:tr>
      <w:tr w14:paraId="60495336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23AB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数字员工平台化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BEC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以平台方式管理多个数字员工，而不是为单一流程硬编码一组Agent。</w:t>
            </w:r>
          </w:p>
        </w:tc>
        <w:tc>
          <w:tcPr>
            <w:tcW w:w="34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4FFE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数字员工目录、角色配置台、上线准入规则。</w:t>
            </w:r>
          </w:p>
        </w:tc>
      </w:tr>
      <w:tr w14:paraId="4D626D7C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9F88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多Agent协同编排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1D4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支持任务拆解、角色分工、并行处理、状态跟踪、汇总校验和人工审核。</w:t>
            </w:r>
          </w:p>
        </w:tc>
        <w:tc>
          <w:tcPr>
            <w:tcW w:w="34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0B8C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流程模板库、任务看板、编排引擎、回退机制。</w:t>
            </w:r>
          </w:p>
        </w:tc>
      </w:tr>
      <w:tr w14:paraId="52B0637E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DCEE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知识与工具接入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07F4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让数字员工在授权范围内使用企业知识、制度模板、历史案例和业务系统接口。</w:t>
            </w:r>
          </w:p>
        </w:tc>
        <w:tc>
          <w:tcPr>
            <w:tcW w:w="34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4CF0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知识规则中心、工具网关、接口适配器。</w:t>
            </w:r>
          </w:p>
        </w:tc>
      </w:tr>
      <w:tr w14:paraId="2588BB8B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3A75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人机协同审核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AB34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关键输出进入人工确认，正式结论以人工确认版本为准。</w:t>
            </w:r>
          </w:p>
        </w:tc>
        <w:tc>
          <w:tcPr>
            <w:tcW w:w="34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65B2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审核工作台、版本对比、修改留痕。</w:t>
            </w:r>
          </w:p>
        </w:tc>
      </w:tr>
      <w:tr w14:paraId="6CFCE2F6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88D1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审计与运营评测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8C06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完整记录任务输入、知识引用、工具调用、模型输出、人工修改和最终版本。</w:t>
            </w:r>
          </w:p>
        </w:tc>
        <w:tc>
          <w:tcPr>
            <w:tcW w:w="344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9643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审计日志、运营看板、评测指标。</w:t>
            </w:r>
          </w:p>
        </w:tc>
      </w:tr>
    </w:tbl>
    <w:p w14:paraId="5B236C56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（二）建设边界</w:t>
      </w:r>
    </w:p>
    <w:p w14:paraId="1565F5C0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一期不追求所有业务场景一次性上线，重点证明平台底座、数字员工配置、流程编排、人工审核和审计运营闭环。</w:t>
      </w:r>
    </w:p>
    <w:p w14:paraId="52C482F9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不允许数字员工直接作出定标、付款、合同签署、录用、绩效、处罚等高风险最终决策。</w:t>
      </w:r>
    </w:p>
    <w:p w14:paraId="46F150D7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不替代客户既有OA、采购、CRM、项目、财务、人力系统，不重新承载业务主数据和正式审批流程。</w:t>
      </w:r>
    </w:p>
    <w:p w14:paraId="11C12621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一期不直接开放高风险生产写回，数字员工输出先进入人工审核，再通过导出、待办推送或受控接口进入原系统。</w:t>
      </w:r>
    </w:p>
    <w:p w14:paraId="0909ED90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（三）与既有系统的关系</w:t>
      </w:r>
    </w:p>
    <w:p w14:paraId="77F139D9">
      <w:pPr>
        <w:spacing w:before="80" w:after="80" w:line="420" w:lineRule="auto"/>
        <w:jc w:val="both"/>
      </w:pPr>
      <w:bookmarkStart w:id="0" w:name="_GoBack"/>
      <w:bookmarkEnd w:id="0"/>
      <w:r>
        <w:rPr>
          <w:rFonts w:ascii="仿宋" w:hAnsi="仿宋" w:eastAsia="仿宋" w:cs="仿宋"/>
          <w:sz w:val="28"/>
          <w:szCs w:val="28"/>
        </w:rPr>
        <w:t>原系统继续负责业务主数据、正式审批、权限生效、发布和归档；数字员工平台作为AI协同层，负责资料收集、知识检索、草稿生成、规则预检、任务跟踪、人工审核和审计留痕。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3538"/>
        <w:gridCol w:w="3714"/>
      </w:tblGrid>
      <w:tr w14:paraId="6B752467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5B8D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职责边界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220B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原业务系统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5B3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多Agent数字员工平台</w:t>
            </w:r>
          </w:p>
        </w:tc>
      </w:tr>
      <w:tr w14:paraId="23F96C1A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3A28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业务主数据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DA87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维护客户、供应商、合同、项目、人员、预算、审批单等权威数据。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F689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在授权范围内读取或引用数据，不重新承载主数据。</w:t>
            </w:r>
          </w:p>
        </w:tc>
      </w:tr>
      <w:tr w14:paraId="42A7E06E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512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正式流程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6F4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负责正式审批、状态变更、权限生效和业务结果发布。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4D3D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提供AI草稿、预检建议、材料汇总和待办提醒。</w:t>
            </w:r>
          </w:p>
        </w:tc>
      </w:tr>
      <w:tr w14:paraId="642A10CE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9D11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工具调用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9AB9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提供查询、导出、消息、待办或业务接口。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4588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通过工具网关受控调用，优先只读和人工确认后写回。</w:t>
            </w:r>
          </w:p>
        </w:tc>
      </w:tr>
      <w:tr w14:paraId="44D53F33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96B0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人工责任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F329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业务负责人、审批人、审核人对正式结论负责。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1E91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记录数字员工建议、模型依据、人工修改和最终确认人。</w:t>
            </w:r>
          </w:p>
        </w:tc>
      </w:tr>
      <w:tr w14:paraId="179BF6E3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800E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审计日志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9C18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保留原系统操作日志和审批记录。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554D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补充Agent执行、知识引用、工具调用、风险命中和人工审核日志。</w:t>
            </w:r>
          </w:p>
        </w:tc>
      </w:tr>
    </w:tbl>
    <w:p w14:paraId="42619221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（四）可行性判断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3714"/>
        <w:gridCol w:w="3538"/>
      </w:tblGrid>
      <w:tr w14:paraId="3920279B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DAC1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可行性维度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C2846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判断依据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F402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落地建议</w:t>
            </w:r>
          </w:p>
        </w:tc>
      </w:tr>
      <w:tr w14:paraId="493A6876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D138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业务可行性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C501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多部门均存在资料整理、材料生成、规则预检和流程跟踪等重复工作。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C330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选择采购、知识检索、项目周报等样例组合，验证平台通用能力。</w:t>
            </w:r>
          </w:p>
        </w:tc>
      </w:tr>
      <w:tr w14:paraId="1AE3AB9D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48ACB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技术可行性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DA42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流程编排、Agent运行时、RAG、工具调用、规则引擎、人工审核流和审计日志均具备成熟路线。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08BF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采用平台门户+轻量集成方式，先跑通知识、工具、流程和审核闭环。</w:t>
            </w:r>
          </w:p>
        </w:tc>
      </w:tr>
      <w:tr w14:paraId="45AEFE07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15E5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安全可行性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887F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通过权限矩阵、工具网关、数据分级、脱敏、审计和人工确认可控制AI执行风险。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03178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高风险动作保持人工审批，生产写回按白名单和二次确认推进。</w:t>
            </w:r>
          </w:p>
        </w:tc>
      </w:tr>
      <w:tr w14:paraId="2C8B30DF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F7C3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组织可行性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2A33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数字员工平台需要业务、信息化、安全合规和场景负责人共同运营。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09E2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设置数字员工管理员、规则负责人、知识负责人和场景负责人。</w:t>
            </w:r>
          </w:p>
        </w:tc>
      </w:tr>
      <w:tr w14:paraId="0082190C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56C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经济可行性</w:t>
            </w:r>
          </w:p>
        </w:tc>
        <w:tc>
          <w:tcPr>
            <w:tcW w:w="37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634D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一期投入集中在平台MVP、首批数字员工、轻量集成和试点运营。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77AC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先验证跨场景复用价值，再扩展更多部门和流程。</w:t>
            </w:r>
          </w:p>
        </w:tc>
      </w:tr>
    </w:tbl>
    <w:p w14:paraId="38562EF0">
      <w:pPr>
        <w:pStyle w:val="2"/>
        <w:pageBreakBefore/>
        <w:spacing w:before="280" w:after="180" w:line="420" w:lineRule="auto"/>
      </w:pPr>
      <w:r>
        <w:rPr>
          <w:rFonts w:ascii="仿宋" w:hAnsi="仿宋" w:eastAsia="仿宋" w:cs="仿宋"/>
          <w:b/>
          <w:bCs/>
          <w:sz w:val="32"/>
          <w:szCs w:val="32"/>
        </w:rPr>
        <w:t>三、总体建设方案</w:t>
      </w:r>
    </w:p>
    <w:p w14:paraId="3EABFEBD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（一）系统定位</w:t>
      </w:r>
    </w:p>
    <w:p w14:paraId="09BA5F5C">
      <w:pPr>
        <w:spacing w:before="80" w:after="80" w:line="420" w:lineRule="auto"/>
        <w:jc w:val="both"/>
      </w:pPr>
      <w:r>
        <w:rPr>
          <w:rFonts w:ascii="仿宋" w:hAnsi="仿宋" w:eastAsia="仿宋" w:cs="仿宋"/>
          <w:sz w:val="28"/>
          <w:szCs w:val="28"/>
        </w:rPr>
        <w:t>本方案定位为“企业级通用多Agent数字员工平台”落地方案。平台不是为某一个流程硬编码一组Agent，而是提供数字员工定义、流程编排、知识检索、工具调用、人工审核、合规审计和运营评测等通用能力，使企业能够持续创建、发布、运营和优化不同业务场景下的数字员工。</w:t>
      </w:r>
    </w:p>
    <w:p w14:paraId="609B2D5C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（二）总体架构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4245"/>
        <w:gridCol w:w="3007"/>
      </w:tblGrid>
      <w:tr w14:paraId="776E5814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4CEA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功能层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A5EF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组成内容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F09E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说明</w:t>
            </w:r>
          </w:p>
        </w:tc>
      </w:tr>
      <w:tr w14:paraId="0D9BE907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1B89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业务门户层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79BF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数字员工目录、任务提交、任务看板、我的待办、输出材料、运营看板。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3E1E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面向业务用户提供统一入口。</w:t>
            </w:r>
          </w:p>
        </w:tc>
      </w:tr>
      <w:tr w14:paraId="3FF31D13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BCAD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数字员工管理层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F6CE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角色定义、职责边界、提示词版本、知识范围、工具权限、上线准入、评测指标。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C84D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让数字员工成为可管理资产。</w:t>
            </w:r>
          </w:p>
        </w:tc>
      </w:tr>
      <w:tr w14:paraId="344EF1D0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97CF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流程编排层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288D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流程模板、状态机、任务拆解、并行协同、人工审核、异常回退、升级处理。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BC45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支撑多个数字员工协同完成复杂任务。</w:t>
            </w:r>
          </w:p>
        </w:tc>
      </w:tr>
      <w:tr w14:paraId="316332D7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903F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知识与规则层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8C66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制度文件、业务模板、历史案例、字段字典、风险规则、质量规则、示例库。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8F8A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为数字员工提供依据和约束。</w:t>
            </w:r>
          </w:p>
        </w:tc>
      </w:tr>
      <w:tr w14:paraId="62501938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EA4D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工具与连接层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0B07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OA、采购、CRM、项目管理、财务、人力、文档、消息、日志等系统接口。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315D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让数字员工可以受控查询和执行。</w:t>
            </w:r>
          </w:p>
        </w:tc>
      </w:tr>
      <w:tr w14:paraId="243047B0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F548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模型与运行层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38EF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大模型、嵌入模型、重排模型、模型网关、Agent运行时、工具调用框架。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3988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负责理解、生成、调用、校验和汇总。</w:t>
            </w:r>
          </w:p>
        </w:tc>
      </w:tr>
      <w:tr w14:paraId="667CBA84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8872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合规审计层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B552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权限矩阵、数据分级、脱敏策略、调用日志、审计台账、责任链。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79C2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保证可审查、可追责、可回滚。</w:t>
            </w:r>
          </w:p>
        </w:tc>
      </w:tr>
      <w:tr w14:paraId="15BEFFF9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829E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运营评测层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6C25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任务成功率、采纳率、人工修改率、风险命中率、节省工时、用户反馈。</w:t>
            </w:r>
          </w:p>
        </w:tc>
        <w:tc>
          <w:tcPr>
            <w:tcW w:w="300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4856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支撑持续优化和规模化推广。</w:t>
            </w:r>
          </w:p>
        </w:tc>
      </w:tr>
    </w:tbl>
    <w:p w14:paraId="64677E6C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（三）数字员工定义模型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3"/>
        <w:gridCol w:w="3891"/>
        <w:gridCol w:w="3450"/>
      </w:tblGrid>
      <w:tr w14:paraId="334CF9EC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648D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定义项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8427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说明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7C87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示例</w:t>
            </w:r>
          </w:p>
        </w:tc>
      </w:tr>
      <w:tr w14:paraId="1D5F102F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CC2A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角色名称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796D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数字员工在业务侧可识别的名称。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B2F0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采购助理、销售线索助理、项目周报助理、合规审查助理。</w:t>
            </w:r>
          </w:p>
        </w:tc>
      </w:tr>
      <w:tr w14:paraId="347451C7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AAED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职责范围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156B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能做什么、不能做什么。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6D7F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可生成草稿和风险提示，不可代替负责人审批。</w:t>
            </w:r>
          </w:p>
        </w:tc>
      </w:tr>
      <w:tr w14:paraId="73AFDE4E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51EBD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输入要求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8885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需要用户或系统提供的资料。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B8CD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自然语言需求、附件、制度文件、系统数据、历史案例。</w:t>
            </w:r>
          </w:p>
        </w:tc>
      </w:tr>
      <w:tr w14:paraId="10BE4B64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6AD4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输出物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22F5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数字员工交付的结果形式。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6F98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标准表单、分析报告、待办清单、邮件草稿、审计台账。</w:t>
            </w:r>
          </w:p>
        </w:tc>
      </w:tr>
      <w:tr w14:paraId="73303CA8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3255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知识范围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A34E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可检索和引用的知识源。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D99F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制度库、模板库、项目库、客户库、合同库。</w:t>
            </w:r>
          </w:p>
        </w:tc>
      </w:tr>
      <w:tr w14:paraId="23438E16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29F9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工具权限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248F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可调用的系统和接口。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9A9F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查询CRM、读取项目系统、生成文档、发送待办通知。</w:t>
            </w:r>
          </w:p>
        </w:tc>
      </w:tr>
      <w:tr w14:paraId="6BCF4605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EC87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人工审核点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A5D5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哪些输出必须由人确认。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CE30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报价、定标、合同条款、绩效结论、合规结论。</w:t>
            </w:r>
          </w:p>
        </w:tc>
      </w:tr>
      <w:tr w14:paraId="1D6B93AF">
        <w:tc>
          <w:tcPr>
            <w:tcW w:w="15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48C2B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评价指标</w:t>
            </w:r>
          </w:p>
        </w:tc>
        <w:tc>
          <w:tcPr>
            <w:tcW w:w="38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70E8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用于判断数字员工是否有效。</w:t>
            </w:r>
          </w:p>
        </w:tc>
        <w:tc>
          <w:tcPr>
            <w:tcW w:w="34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3310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采纳率、修改率、准确率、处理时长、用户评分。</w:t>
            </w:r>
          </w:p>
        </w:tc>
      </w:tr>
    </w:tbl>
    <w:p w14:paraId="374BAE48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（四）多Agent协同机制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5"/>
        <w:gridCol w:w="4245"/>
        <w:gridCol w:w="3184"/>
      </w:tblGrid>
      <w:tr w14:paraId="14D1B405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EE3AB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环节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16A7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平台动作</w:t>
            </w:r>
          </w:p>
        </w:tc>
        <w:tc>
          <w:tcPr>
            <w:tcW w:w="31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F8BD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客户可见结果</w:t>
            </w:r>
          </w:p>
        </w:tc>
      </w:tr>
      <w:tr w14:paraId="0599CDD7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DF44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任务提交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4470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用户选择任务模板或数字员工，提交需求、附件、业务对象和期望输出。</w:t>
            </w:r>
          </w:p>
        </w:tc>
        <w:tc>
          <w:tcPr>
            <w:tcW w:w="31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303C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系统生成任务卡片，展示所需资料和预计流程。</w:t>
            </w:r>
          </w:p>
        </w:tc>
      </w:tr>
      <w:tr w14:paraId="34A3701A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0C09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团队组建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11D4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编排引擎按流程模板组建多个数字员工团队。</w:t>
            </w:r>
          </w:p>
        </w:tc>
        <w:tc>
          <w:tcPr>
            <w:tcW w:w="31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060F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任务卡片显示参与的数字员工及分工。</w:t>
            </w:r>
          </w:p>
        </w:tc>
      </w:tr>
      <w:tr w14:paraId="039AE8D0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83BD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协同执行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0562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各数字员工在权限范围内调用知识库和工具，生成中间结果。</w:t>
            </w:r>
          </w:p>
        </w:tc>
        <w:tc>
          <w:tcPr>
            <w:tcW w:w="31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50AE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用户可查看引用依据、工具调用摘要和中间产物。</w:t>
            </w:r>
          </w:p>
        </w:tc>
      </w:tr>
      <w:tr w14:paraId="24E7A9BA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7976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规则校验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9F6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合规或质量Agent检查格式、权限、制度、字段完整性和风险规则。</w:t>
            </w:r>
          </w:p>
        </w:tc>
        <w:tc>
          <w:tcPr>
            <w:tcW w:w="31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3B1C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系统输出风险清单、待确认项和整改建议。</w:t>
            </w:r>
          </w:p>
        </w:tc>
      </w:tr>
      <w:tr w14:paraId="4024B9E7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30F6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人工审核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5F9A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关键节点进入人工确认、驳回、修改或补充说明。</w:t>
            </w:r>
          </w:p>
        </w:tc>
        <w:tc>
          <w:tcPr>
            <w:tcW w:w="31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08E2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审核记录、修改差异和责任人自动留痕。</w:t>
            </w:r>
          </w:p>
        </w:tc>
      </w:tr>
      <w:tr w14:paraId="1CF96091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DBE6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发布归档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DF41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人工确认后生成最终版本并归档，进入运营评测。</w:t>
            </w:r>
          </w:p>
        </w:tc>
        <w:tc>
          <w:tcPr>
            <w:tcW w:w="31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923D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可导出正式材料、审计台账和效果统计。</w:t>
            </w:r>
          </w:p>
        </w:tc>
      </w:tr>
    </w:tbl>
    <w:p w14:paraId="794CCED5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（五）技术路线与安全策略</w:t>
      </w:r>
    </w:p>
    <w:p w14:paraId="11B9ADED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采用“流程编排引擎+Agent运行时+企业知识库+工具网关+规则引擎+人工审核流+审计日志”的组合架构。</w:t>
      </w:r>
    </w:p>
    <w:p w14:paraId="4363445C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模型通过统一模型网关接入，支持私有化模型、专有云模型或混合模型策略，便于后续切换和成本控制。</w:t>
      </w:r>
    </w:p>
    <w:p w14:paraId="166244CC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知识检索采用全文检索、向量检索和重排模型结合的RAG路线，生成结果必须保留引用来源。</w:t>
      </w:r>
    </w:p>
    <w:p w14:paraId="713EC545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数字员工权限不得高于其服务对象和业务角色的授权范围，默认不具备全局数据访问能力。</w:t>
      </w:r>
    </w:p>
    <w:p w14:paraId="777DCCE8">
      <w:pPr>
        <w:pStyle w:val="16"/>
        <w:numPr>
          <w:ilvl w:val="0"/>
          <w:numId w:val="1"/>
        </w:numPr>
        <w:spacing w:before="40" w:after="40" w:line="400" w:lineRule="auto"/>
      </w:pPr>
      <w:r>
        <w:rPr>
          <w:rFonts w:ascii="仿宋" w:hAnsi="仿宋" w:eastAsia="仿宋" w:cs="仿宋"/>
          <w:sz w:val="28"/>
          <w:szCs w:val="28"/>
        </w:rPr>
        <w:t>高风险工具调用应采用审批、二次确认、限流、只读优先和沙箱验证机制。</w:t>
      </w:r>
    </w:p>
    <w:p w14:paraId="13C472F8">
      <w:pPr>
        <w:pStyle w:val="2"/>
        <w:pageBreakBefore/>
        <w:spacing w:before="280" w:after="180" w:line="420" w:lineRule="auto"/>
      </w:pPr>
      <w:r>
        <w:rPr>
          <w:rFonts w:ascii="仿宋" w:hAnsi="仿宋" w:eastAsia="仿宋" w:cs="仿宋"/>
          <w:b/>
          <w:bCs/>
          <w:sz w:val="32"/>
          <w:szCs w:val="32"/>
        </w:rPr>
        <w:t>四、核心功能落地设计</w:t>
      </w:r>
    </w:p>
    <w:p w14:paraId="3D56CDE7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（一）数字员工目录与配置台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6"/>
        <w:gridCol w:w="4245"/>
        <w:gridCol w:w="2653"/>
      </w:tblGrid>
      <w:tr w14:paraId="2C8D8762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A258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EE1A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一期建设内容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6A20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落地效果</w:t>
            </w:r>
          </w:p>
        </w:tc>
      </w:tr>
      <w:tr w14:paraId="281319D8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8FF9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数字员工目录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0E83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展示首批数字员工角色卡，支持查看职责、输入、输出、权限和适用场景。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8F49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客户可在目录中选择不同数字员工发起任务。</w:t>
            </w:r>
          </w:p>
        </w:tc>
      </w:tr>
      <w:tr w14:paraId="5A1C2387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4EB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数字员工配置台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61E6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支持配置角色说明、知识范围、工具权限、审核节点、输出模板和禁用动作。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0932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管理员可新增或调整一个轻量数字员工。</w:t>
            </w:r>
          </w:p>
        </w:tc>
      </w:tr>
      <w:tr w14:paraId="4B95F00D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3E1A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角色上线准入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F1D5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配置评测样例、风险边界、人工审核点和试点范围。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9A0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避免未评测数字员工直接进入正式业务。</w:t>
            </w:r>
          </w:p>
        </w:tc>
      </w:tr>
    </w:tbl>
    <w:p w14:paraId="215AC203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（二）任务提交与过程看板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3803"/>
        <w:gridCol w:w="3361"/>
      </w:tblGrid>
      <w:tr w14:paraId="09204468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872E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页面/工作台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1867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9FEC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落地价值</w:t>
            </w:r>
          </w:p>
        </w:tc>
      </w:tr>
      <w:tr w14:paraId="0DF51B01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59B6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任务提交入口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AA56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支持自然语言需求、附件上传、业务类型选择、期望输出选择、保密级别选择。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FB598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业务人员不用理解底层Agent编排，只需按任务目标提交需求。</w:t>
            </w:r>
          </w:p>
        </w:tc>
      </w:tr>
      <w:tr w14:paraId="05E289D3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D9A6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多Agent任务看板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9442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展示任务状态、负责数字员工、当前节点、待人工处理事项、风险数量和预计完成时间。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794A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把黑箱AI执行变成可跟踪、可暂停、可回退的业务流程。</w:t>
            </w:r>
          </w:p>
        </w:tc>
      </w:tr>
      <w:tr w14:paraId="31DA8E82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7838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人工审核工作台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80D1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展示数字员工输出、引用依据、待确认项、风险提示、修改前后差异和审核意见。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483B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确保关键输出由人确认，符合企业责任闭环。</w:t>
            </w:r>
          </w:p>
        </w:tc>
      </w:tr>
      <w:tr w14:paraId="3EC8DD76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1218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运营评测看板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6D2D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统计任务量、成功率、平均处理时长、人工修改率、风险命中率、用户满意度。</w:t>
            </w:r>
          </w:p>
        </w:tc>
        <w:tc>
          <w:tcPr>
            <w:tcW w:w="336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1D1B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用数据证明数字员工的效果，支撑后续推广。</w:t>
            </w:r>
          </w:p>
        </w:tc>
      </w:tr>
    </w:tbl>
    <w:p w14:paraId="2F834C9B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（三）流程模板与工具网关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4068"/>
        <w:gridCol w:w="3096"/>
      </w:tblGrid>
      <w:tr w14:paraId="3AC9BCDB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2E03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能力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EDD6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一期建设内容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8051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落地效果</w:t>
            </w:r>
          </w:p>
        </w:tc>
      </w:tr>
      <w:tr w14:paraId="1014ED06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A2DA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流程模板库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7F97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内置资料收集、规则预检、文档生成、人工审核、归档审计等通用模板。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816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复杂任务可以按流程拆解，而不是一次性聊天生成。</w:t>
            </w:r>
          </w:p>
        </w:tc>
      </w:tr>
      <w:tr w14:paraId="43B84C79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2452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工具网关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2419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对接客户系统、文档、消息、日志和导出工具，统一鉴权和审计。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C0C2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数字员工可受控完成查询、汇总和通知。</w:t>
            </w:r>
          </w:p>
        </w:tc>
      </w:tr>
      <w:tr w14:paraId="25C58328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0C57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系统集成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2BE9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一期接入统一身份、文档知识、消息待办和1个试点业务系统或模拟接口。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08768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平台能融入现有工作，而不是停留在独立演示工具。</w:t>
            </w:r>
          </w:p>
        </w:tc>
      </w:tr>
    </w:tbl>
    <w:p w14:paraId="67F80DDB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（四）知识规则与审计追溯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4068"/>
        <w:gridCol w:w="3096"/>
      </w:tblGrid>
      <w:tr w14:paraId="371FF7C4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6F32B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能力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B6D86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建设内容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D632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落地效果</w:t>
            </w:r>
          </w:p>
        </w:tc>
      </w:tr>
      <w:tr w14:paraId="61B3D3A7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C1C1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知识检索与引用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B9BD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接入制度、模板、案例和文档，输出引用来源、版本和适用范围。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FB64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生成结果有依据，便于审核和追溯。</w:t>
            </w:r>
          </w:p>
        </w:tc>
      </w:tr>
      <w:tr w14:paraId="56DF9E3A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740E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规则校验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9F9A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支持格式、字段、权限、制度、风险和完整性检查。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078D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减少错误材料和越权操作。</w:t>
            </w:r>
          </w:p>
        </w:tc>
      </w:tr>
      <w:tr w14:paraId="7635B536">
        <w:tc>
          <w:tcPr>
            <w:tcW w:w="1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078A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审计追溯</w:t>
            </w:r>
          </w:p>
        </w:tc>
        <w:tc>
          <w:tcPr>
            <w:tcW w:w="40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1334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记录输入、检索、模型、工具、规则、人工修改和最终版本。</w:t>
            </w:r>
          </w:p>
        </w:tc>
        <w:tc>
          <w:tcPr>
            <w:tcW w:w="30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216A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满足企业合规审计和责任闭环要求。</w:t>
            </w:r>
          </w:p>
        </w:tc>
      </w:tr>
    </w:tbl>
    <w:p w14:paraId="2931F0ED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（五）典型场景验证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6"/>
        <w:gridCol w:w="2919"/>
        <w:gridCol w:w="2211"/>
        <w:gridCol w:w="1768"/>
      </w:tblGrid>
      <w:tr w14:paraId="0B9602DC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AABC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样例场景</w:t>
            </w:r>
          </w:p>
        </w:tc>
        <w:tc>
          <w:tcPr>
            <w:tcW w:w="29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AD87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验证目的</w:t>
            </w:r>
          </w:p>
        </w:tc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A411B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涉及数字员工</w:t>
            </w:r>
          </w:p>
        </w:tc>
        <w:tc>
          <w:tcPr>
            <w:tcW w:w="17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6064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输出物</w:t>
            </w:r>
          </w:p>
        </w:tc>
      </w:tr>
      <w:tr w14:paraId="2BCF21C0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78BB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采购流程样例</w:t>
            </w:r>
          </w:p>
        </w:tc>
        <w:tc>
          <w:tcPr>
            <w:tcW w:w="29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9A76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验证多角色、多节点、强合规、强审计的复杂流程。</w:t>
            </w:r>
          </w:p>
        </w:tc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0F0D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采购助理、合规审查助理、评标辅助助理、归档助理。</w:t>
            </w:r>
          </w:p>
        </w:tc>
        <w:tc>
          <w:tcPr>
            <w:tcW w:w="17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0EA4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需求单、集采清单、招标草案、风险清单、归档目录。</w:t>
            </w:r>
          </w:p>
        </w:tc>
      </w:tr>
      <w:tr w14:paraId="4ECC7DBB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09E3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企业知识检索样例</w:t>
            </w:r>
          </w:p>
        </w:tc>
        <w:tc>
          <w:tcPr>
            <w:tcW w:w="29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FD13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验证企业知识接入、引用溯源和权限过滤能力。</w:t>
            </w:r>
          </w:p>
        </w:tc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2DA1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知识检索助理、合规审查助理。</w:t>
            </w:r>
          </w:p>
        </w:tc>
        <w:tc>
          <w:tcPr>
            <w:tcW w:w="17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68B7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带引用答案、相似案例、模板推荐、访问日志。</w:t>
            </w:r>
          </w:p>
        </w:tc>
      </w:tr>
      <w:tr w14:paraId="7745B689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EDBC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项目周报样例</w:t>
            </w:r>
          </w:p>
        </w:tc>
        <w:tc>
          <w:tcPr>
            <w:tcW w:w="29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27A0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验证跨资料汇总、风险识别和管理报告生成能力。</w:t>
            </w:r>
          </w:p>
        </w:tc>
        <w:tc>
          <w:tcPr>
            <w:tcW w:w="221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FD38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项目助理、会议纪要助理、风险分析助理。</w:t>
            </w:r>
          </w:p>
        </w:tc>
        <w:tc>
          <w:tcPr>
            <w:tcW w:w="176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BD90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项目周报、风险清单、待办跟踪表。</w:t>
            </w:r>
          </w:p>
        </w:tc>
      </w:tr>
    </w:tbl>
    <w:p w14:paraId="3728307E">
      <w:pPr>
        <w:pStyle w:val="2"/>
        <w:pageBreakBefore/>
        <w:spacing w:before="280" w:after="180" w:line="420" w:lineRule="auto"/>
      </w:pPr>
      <w:r>
        <w:rPr>
          <w:rFonts w:ascii="仿宋" w:hAnsi="仿宋" w:eastAsia="仿宋" w:cs="仿宋"/>
          <w:b/>
          <w:bCs/>
          <w:sz w:val="32"/>
          <w:szCs w:val="32"/>
        </w:rPr>
        <w:t>五、实施路径与分期计划</w:t>
      </w:r>
    </w:p>
    <w:p w14:paraId="1AD7E32C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（一）一期MVP建设范围</w:t>
      </w:r>
    </w:p>
    <w:p w14:paraId="75C21227">
      <w:pPr>
        <w:spacing w:before="80" w:after="80" w:line="420" w:lineRule="auto"/>
        <w:jc w:val="both"/>
      </w:pPr>
      <w:r>
        <w:rPr>
          <w:rFonts w:ascii="仿宋" w:hAnsi="仿宋" w:eastAsia="仿宋" w:cs="仿宋"/>
          <w:sz w:val="28"/>
          <w:szCs w:val="28"/>
        </w:rPr>
        <w:t>一期MVP应定位为“通用数字员工平台最小闭环”，而不是某个单一业务流程的定制系统。MVP需要让客户看到：平台中可以管理多个数字员工，业务人员可以提交任务，多个Agent可以协同处理，关键结果可以人工审核，任务过程可以审计追踪，并且同一底座可以运行多个样例场景。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6"/>
        <w:gridCol w:w="4245"/>
        <w:gridCol w:w="2653"/>
      </w:tblGrid>
      <w:tr w14:paraId="079FB943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2A60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A99C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一期建设内容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FE89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客户可见效果</w:t>
            </w:r>
          </w:p>
        </w:tc>
      </w:tr>
      <w:tr w14:paraId="577EB129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D27E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平台门户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B16B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数字员工目录、任务提交、任务看板、我的待办和输出材料。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AC46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业务人员可发起任务并查看处理过程。</w:t>
            </w:r>
          </w:p>
        </w:tc>
      </w:tr>
      <w:tr w14:paraId="57523F06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551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配置管理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4CFA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角色配置台、流程模板、知识范围、工具权限和审核节点。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3A47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管理员可配置或调整一个轻量数字员工。</w:t>
            </w:r>
          </w:p>
        </w:tc>
      </w:tr>
      <w:tr w14:paraId="525A6910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8C53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协同执行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D1E3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流程编排MVP、工具网关MVP、知识与规则中心。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371A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同一底座可运行采购、知识检索、项目周报等样例。</w:t>
            </w:r>
          </w:p>
        </w:tc>
      </w:tr>
      <w:tr w14:paraId="5C569DA2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C8956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审核审计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BBF7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人工审核工作台、审计日志、版本对比、责任人留痕。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CEF6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关键输出必须由人工确认后进入最终版本。</w:t>
            </w:r>
          </w:p>
        </w:tc>
      </w:tr>
      <w:tr w14:paraId="7A0E04EC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0529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运营看板</w:t>
            </w:r>
          </w:p>
        </w:tc>
        <w:tc>
          <w:tcPr>
            <w:tcW w:w="424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B56F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任务量、成功率、采纳率、修改率、风险命中和用户反馈。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09ED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可按任务和数字员工导出运营数据。</w:t>
            </w:r>
          </w:p>
        </w:tc>
      </w:tr>
    </w:tbl>
    <w:p w14:paraId="7CF23D74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（二）分期建设路线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5"/>
        <w:gridCol w:w="2653"/>
        <w:gridCol w:w="2653"/>
        <w:gridCol w:w="2123"/>
      </w:tblGrid>
      <w:tr w14:paraId="257F48DF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2736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F9A4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客户侧目标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F6D6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平台能力演进</w:t>
            </w:r>
          </w:p>
        </w:tc>
        <w:tc>
          <w:tcPr>
            <w:tcW w:w="212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F506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客户价值体现</w:t>
            </w:r>
          </w:p>
        </w:tc>
      </w:tr>
      <w:tr w14:paraId="4CE7F2A1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275A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一期：可用闭环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8D31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让业务部门看到数字员工可处理真实任务，并形成可审核、可追溯的输出。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F66D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建设平台门户、首批数字员工、任务看板、人工审核、审计日志和轻量集成。</w:t>
            </w:r>
          </w:p>
        </w:tc>
        <w:tc>
          <w:tcPr>
            <w:tcW w:w="212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F68B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证明数字员工能减轻重复工作，建立试点信心和基础治理框架。</w:t>
            </w:r>
          </w:p>
        </w:tc>
      </w:tr>
      <w:tr w14:paraId="7B8FED17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5C2E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二期：流程嵌入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0E72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让数字员工进入OA、采购、CRM、项目等原业务系统的日常工作入口。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7AF9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增强流程嵌入、待办联动、接口写回、权限联动和场景模板复用。</w:t>
            </w:r>
          </w:p>
        </w:tc>
        <w:tc>
          <w:tcPr>
            <w:tcW w:w="212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0330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减少系统切换，提升流程处理效率和跨部门协同效率。</w:t>
            </w:r>
          </w:p>
        </w:tc>
      </w:tr>
      <w:tr w14:paraId="4DFD3E67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FB1F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三期：规模推广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CE2E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将验证成熟的数字员工扩展到更多部门和流程。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949B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建设数字员工运营中心、场景市场、规则版本库、评测体系和成本监控。</w:t>
            </w:r>
          </w:p>
        </w:tc>
        <w:tc>
          <w:tcPr>
            <w:tcW w:w="212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0A0B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形成可持续扩展的企业AI执行能力，降低新增场景建设成本。</w:t>
            </w:r>
          </w:p>
        </w:tc>
      </w:tr>
      <w:tr w14:paraId="1D75A94D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70AA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长期：受控自治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C8A4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对低风险、高频、规则明确的任务逐步开放受控自动化。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F51D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支持自动触发、自动归档、异常升级、智能调度和持续优化。</w:t>
            </w:r>
          </w:p>
        </w:tc>
        <w:tc>
          <w:tcPr>
            <w:tcW w:w="212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F1DA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让AI从辅助生成走向受控执行，释放更多业务运营效率。</w:t>
            </w:r>
          </w:p>
        </w:tc>
      </w:tr>
    </w:tbl>
    <w:p w14:paraId="76CD5FB5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（三）实施计划与里程碑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5"/>
        <w:gridCol w:w="1238"/>
        <w:gridCol w:w="3538"/>
        <w:gridCol w:w="2653"/>
      </w:tblGrid>
      <w:tr w14:paraId="3014E638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B87C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1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0676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周期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FAA7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重点工作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F399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交付物</w:t>
            </w:r>
          </w:p>
        </w:tc>
      </w:tr>
      <w:tr w14:paraId="6D926D53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C00E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阶段一：平台蓝图与场景梳理</w:t>
            </w:r>
          </w:p>
        </w:tc>
        <w:tc>
          <w:tcPr>
            <w:tcW w:w="1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136C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第1-2周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92BB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梳理数字员工角色库、首批样例场景、数据权限、系统接口、流程模板、原系统分工和演示口径。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087C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平台蓝图、角色清单、场景清单、权限矩阵、接口清单、系统边界说明。</w:t>
            </w:r>
          </w:p>
        </w:tc>
      </w:tr>
      <w:tr w14:paraId="2AD0074E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31F0D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阶段二：通用平台MVP</w:t>
            </w:r>
          </w:p>
        </w:tc>
        <w:tc>
          <w:tcPr>
            <w:tcW w:w="1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5492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第3-6周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DB13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建设数字员工目录、配置台、任务看板、流程编排、知识规则中心、工具网关和审计日志。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BC8E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平台MVP、数字员工配置样例、基础流程模板、审计日志样例、轻量集成样例。</w:t>
            </w:r>
          </w:p>
        </w:tc>
      </w:tr>
      <w:tr w14:paraId="07480095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CD69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阶段三：多场景样例落地</w:t>
            </w:r>
          </w:p>
        </w:tc>
        <w:tc>
          <w:tcPr>
            <w:tcW w:w="1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6AC0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第7-10周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E920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落地采购、知识检索、项目周报等样例场景，验证跨场景复用能力。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681D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样例应用、输出模板、规则清单、测试报告。</w:t>
            </w:r>
          </w:p>
        </w:tc>
      </w:tr>
      <w:tr w14:paraId="77AB4E96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C7CB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阶段四：合规加固与系统联调</w:t>
            </w:r>
          </w:p>
        </w:tc>
        <w:tc>
          <w:tcPr>
            <w:tcW w:w="1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EEEC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第11-14周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0AB0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完善权限隔离、人工审核、风险规则、工具网关、模型评测、日志审计和系统联调。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4E1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合规评测报告、联调报告、整改清单、上线方案。</w:t>
            </w:r>
          </w:p>
        </w:tc>
      </w:tr>
      <w:tr w14:paraId="7B34D40C">
        <w:tc>
          <w:tcPr>
            <w:tcW w:w="141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4DF6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阶段五：试运行与规模推广</w:t>
            </w:r>
          </w:p>
        </w:tc>
        <w:tc>
          <w:tcPr>
            <w:tcW w:w="1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7C6C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长期</w:t>
            </w:r>
          </w:p>
        </w:tc>
        <w:tc>
          <w:tcPr>
            <w:tcW w:w="35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12EB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按部门和场景扩展数字员工，建立运营机制和持续优化机制。</w:t>
            </w:r>
          </w:p>
        </w:tc>
        <w:tc>
          <w:tcPr>
            <w:tcW w:w="26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831C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试运行报告、数字员工运营看板、推广计划、优化清单。</w:t>
            </w:r>
          </w:p>
        </w:tc>
      </w:tr>
    </w:tbl>
    <w:p w14:paraId="007E6681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（四）客户侧投入与配合事项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9"/>
        <w:gridCol w:w="3803"/>
        <w:gridCol w:w="3272"/>
      </w:tblGrid>
      <w:tr w14:paraId="55FE7AA3">
        <w:tc>
          <w:tcPr>
            <w:tcW w:w="1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5986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配合事项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0776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客户需提供内容</w:t>
            </w:r>
          </w:p>
        </w:tc>
        <w:tc>
          <w:tcPr>
            <w:tcW w:w="32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0100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对项目价值的影响</w:t>
            </w:r>
          </w:p>
        </w:tc>
      </w:tr>
      <w:tr w14:paraId="5F879C63">
        <w:tc>
          <w:tcPr>
            <w:tcW w:w="1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7A34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业务场景选择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78D4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明确首批试点部门、任务类型、样例数据和演示口径。</w:t>
            </w:r>
          </w:p>
        </w:tc>
        <w:tc>
          <w:tcPr>
            <w:tcW w:w="32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1F86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决定一期能否跑出可展示、可评估的业务闭环。</w:t>
            </w:r>
          </w:p>
        </w:tc>
      </w:tr>
      <w:tr w14:paraId="672A486D">
        <w:tc>
          <w:tcPr>
            <w:tcW w:w="1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1AFB6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流程与规则确认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9A04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提供流程节点、制度规则、权限边界、人工审核要求和例外处理方式。</w:t>
            </w:r>
          </w:p>
        </w:tc>
        <w:tc>
          <w:tcPr>
            <w:tcW w:w="32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38FD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决定数字员工输出是否符合客户真实管理要求。</w:t>
            </w:r>
          </w:p>
        </w:tc>
      </w:tr>
      <w:tr w14:paraId="7726D92B">
        <w:tc>
          <w:tcPr>
            <w:tcW w:w="1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F4E79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系统接口支持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7E53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提供身份、文档、消息、试点业务系统或模拟接口。</w:t>
            </w:r>
          </w:p>
        </w:tc>
        <w:tc>
          <w:tcPr>
            <w:tcW w:w="32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9D5A6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决定平台能否融入现有工作，而不是停留在独立工具。</w:t>
            </w:r>
          </w:p>
        </w:tc>
      </w:tr>
      <w:tr w14:paraId="5E8D81D0">
        <w:tc>
          <w:tcPr>
            <w:tcW w:w="1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FDFAA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试点人员参与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3E54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安排业务人员、审核人员、安全合规人员参与试运行和反馈。</w:t>
            </w:r>
          </w:p>
        </w:tc>
        <w:tc>
          <w:tcPr>
            <w:tcW w:w="32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6F34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决定规则、模板和数字员工能力能否持续贴近业务。</w:t>
            </w:r>
          </w:p>
        </w:tc>
      </w:tr>
      <w:tr w14:paraId="243CCF28">
        <w:tc>
          <w:tcPr>
            <w:tcW w:w="17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C0AB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运营机制建设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EEBF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明确数字员工管理员、规则负责人、知识负责人和复盘机制。</w:t>
            </w:r>
          </w:p>
        </w:tc>
        <w:tc>
          <w:tcPr>
            <w:tcW w:w="32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4156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决定平台能否从项目交付走向长期运营。</w:t>
            </w:r>
          </w:p>
        </w:tc>
      </w:tr>
    </w:tbl>
    <w:p w14:paraId="5C52A34D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（五）后续延伸方向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6"/>
        <w:gridCol w:w="3803"/>
        <w:gridCol w:w="3095"/>
      </w:tblGrid>
      <w:tr w14:paraId="167157BD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ABDE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延伸方向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3F3E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能力体现</w:t>
            </w:r>
          </w:p>
        </w:tc>
        <w:tc>
          <w:tcPr>
            <w:tcW w:w="309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5BD2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长期价值</w:t>
            </w:r>
          </w:p>
        </w:tc>
      </w:tr>
      <w:tr w14:paraId="55F20B9A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6047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数字员工场景市场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1DE3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沉淀可复用的角色模板、流程模板、输出模板和评测样例。</w:t>
            </w:r>
          </w:p>
        </w:tc>
        <w:tc>
          <w:tcPr>
            <w:tcW w:w="309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0A37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新增场景不再从零开发，降低推广成本。</w:t>
            </w:r>
          </w:p>
        </w:tc>
      </w:tr>
      <w:tr w14:paraId="0892C9BB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C77BF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企业AI执行中台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A714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数字员工通过工具网关和流程编排持续接入更多业务系统。</w:t>
            </w:r>
          </w:p>
        </w:tc>
        <w:tc>
          <w:tcPr>
            <w:tcW w:w="309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B7B0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让AI从问答辅助进入受控业务执行。</w:t>
            </w:r>
          </w:p>
        </w:tc>
      </w:tr>
      <w:tr w14:paraId="321C59F8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200F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运营与成本管理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A484E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统计调用成本、节省工时、采纳率、风险命中和用户满意度。</w:t>
            </w:r>
          </w:p>
        </w:tc>
        <w:tc>
          <w:tcPr>
            <w:tcW w:w="309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BAD4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帮助管理层持续评估投入产出。</w:t>
            </w:r>
          </w:p>
        </w:tc>
      </w:tr>
      <w:tr w14:paraId="2DD79710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8D97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低风险自动化</w:t>
            </w:r>
          </w:p>
        </w:tc>
        <w:tc>
          <w:tcPr>
            <w:tcW w:w="38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9958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对低风险、高频、规则明确任务逐步开放自动归档、提醒和草稿写回。</w:t>
            </w:r>
          </w:p>
        </w:tc>
        <w:tc>
          <w:tcPr>
            <w:tcW w:w="309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14E4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进一步释放业务人员时间，同时保留风险边界。</w:t>
            </w:r>
          </w:p>
        </w:tc>
      </w:tr>
    </w:tbl>
    <w:p w14:paraId="22188EA8">
      <w:pPr>
        <w:pStyle w:val="2"/>
        <w:pageBreakBefore/>
        <w:spacing w:before="280" w:after="180" w:line="420" w:lineRule="auto"/>
      </w:pPr>
      <w:r>
        <w:rPr>
          <w:rFonts w:ascii="仿宋" w:hAnsi="仿宋" w:eastAsia="仿宋" w:cs="仿宋"/>
          <w:b/>
          <w:bCs/>
          <w:sz w:val="32"/>
          <w:szCs w:val="32"/>
        </w:rPr>
        <w:t>六、建议交付内容与风险应对</w:t>
      </w:r>
    </w:p>
    <w:p w14:paraId="5F53FB47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（一）交付物清单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2"/>
        <w:gridCol w:w="2830"/>
        <w:gridCol w:w="4422"/>
      </w:tblGrid>
      <w:tr w14:paraId="24D741B0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C71F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8442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18A6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说明</w:t>
            </w:r>
          </w:p>
        </w:tc>
      </w:tr>
      <w:tr w14:paraId="28C90A4B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27E70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平台交付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055B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通用多Agent数字员工平台MVP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B71C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包含数字员工目录、配置台、任务看板、流程编排、审核工作台、审计中心和运营看板。</w:t>
            </w:r>
          </w:p>
        </w:tc>
      </w:tr>
      <w:tr w14:paraId="6DA9B1B2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2FB2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数字员工资产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ED2F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首批数字员工角色库V1.0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C123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包含采购助理、知识检索助理、项目助理、合规审查助理等角色定义。</w:t>
            </w:r>
          </w:p>
        </w:tc>
      </w:tr>
      <w:tr w14:paraId="080FC18D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92C8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流程资产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8909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通用流程模板库V1.0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2686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包含资料标准化、文档生成审核、规则预检、归档审计和运营复盘模板。</w:t>
            </w:r>
          </w:p>
        </w:tc>
      </w:tr>
      <w:tr w14:paraId="25D99695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5E60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知识规则资产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3DD8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知识源与规则库V1.0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CD1D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包含制度文件、模板、案例、字段字典、风险规则和质量规则。</w:t>
            </w:r>
          </w:p>
        </w:tc>
      </w:tr>
      <w:tr w14:paraId="0928552C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0D955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集成资产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19C32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工具网关、接口说明与系统边界说明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A3A84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包含身份权限、文档、消息、日志、试点业务系统接口，以及平台与原业务系统的职责分工。</w:t>
            </w:r>
          </w:p>
        </w:tc>
      </w:tr>
      <w:tr w14:paraId="17DAC039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B5A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治理文档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0C58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权限矩阵、上线准入、运维手册、用户手册、审计说明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1BC0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支撑安全、运营和后续推广。</w:t>
            </w:r>
          </w:p>
        </w:tc>
      </w:tr>
      <w:tr w14:paraId="0B9D1EA8">
        <w:tc>
          <w:tcPr>
            <w:tcW w:w="15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64981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评测资产</w:t>
            </w:r>
          </w:p>
        </w:tc>
        <w:tc>
          <w:tcPr>
            <w:tcW w:w="28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714C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样例数据、测试集、评测报告</w:t>
            </w:r>
          </w:p>
        </w:tc>
        <w:tc>
          <w:tcPr>
            <w:tcW w:w="442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854F9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用于评估数字员工质量和持续优化。</w:t>
            </w:r>
          </w:p>
        </w:tc>
      </w:tr>
    </w:tbl>
    <w:p w14:paraId="474CCE57">
      <w:pPr>
        <w:pStyle w:val="3"/>
        <w:spacing w:before="220" w:after="120" w:line="420" w:lineRule="auto"/>
      </w:pPr>
      <w:r>
        <w:rPr>
          <w:rFonts w:ascii="仿宋" w:hAnsi="仿宋" w:eastAsia="仿宋" w:cs="仿宋"/>
          <w:b/>
          <w:bCs/>
          <w:sz w:val="30"/>
          <w:szCs w:val="30"/>
        </w:rPr>
        <w:t>（二）风险分析与应对措施</w:t>
      </w:r>
    </w:p>
    <w:tbl>
      <w:tblPr>
        <w:tblStyle w:val="11"/>
        <w:tblW w:w="88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6"/>
        <w:gridCol w:w="2565"/>
        <w:gridCol w:w="4333"/>
      </w:tblGrid>
      <w:tr w14:paraId="66F7DF7F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999D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0DD93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影响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F60F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应对措施</w:t>
            </w:r>
          </w:p>
        </w:tc>
      </w:tr>
      <w:tr w14:paraId="0E556616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13782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平台能力表达不足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949D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客户难以感知数字员工平台的持续扩展价值。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51F2C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一期交付数字员工目录、配置台和多个样例场景，展示重点体现跨场景复用能力。</w:t>
            </w:r>
          </w:p>
        </w:tc>
      </w:tr>
      <w:tr w14:paraId="3CFE297C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AABC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数字员工职责不清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B03A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输出越界、责任不清或流程混乱。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F157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每个数字员工必须定义职责、输入输出、权限、禁止动作和审核点。</w:t>
            </w:r>
          </w:p>
        </w:tc>
      </w:tr>
      <w:tr w14:paraId="51CD14B4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83C98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模型输出不确定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63FA3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可能产生错误建议或无依据内容。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9547D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采用结构化输出、引用溯源、规则校验、置信度提示和人工审核。</w:t>
            </w:r>
          </w:p>
        </w:tc>
      </w:tr>
      <w:tr w14:paraId="7BED7D7F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7950D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权限越界访问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6D03B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造成敏感数据泄露。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635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建立权限矩阵、工具网关、数据分级、脱敏策略和审计告警。</w:t>
            </w:r>
          </w:p>
        </w:tc>
      </w:tr>
      <w:tr w14:paraId="5623C69F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9AD17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流程过度自动化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A1297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绕过必要审批或业务判断。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81DE5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高风险动作禁止自动执行，正式结论必须由授权人员确认。</w:t>
            </w:r>
          </w:p>
        </w:tc>
      </w:tr>
      <w:tr w14:paraId="65EAEB32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D9644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系统集成复杂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F5470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影响试点周期。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9D01F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先采用旁路工作台、模拟接口和只读接入，验证价值后再深度集成。</w:t>
            </w:r>
          </w:p>
        </w:tc>
      </w:tr>
      <w:tr w14:paraId="3AF9E4E1">
        <w:tc>
          <w:tcPr>
            <w:tcW w:w="19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5B12C">
            <w:pPr>
              <w:spacing w:before="0" w:after="0" w:line="360" w:lineRule="auto"/>
              <w:jc w:val="center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运营机制缺失</w:t>
            </w:r>
          </w:p>
        </w:tc>
        <w:tc>
          <w:tcPr>
            <w:tcW w:w="25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4898A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数字员工上线后无人优化，效果下降。</w:t>
            </w:r>
          </w:p>
        </w:tc>
        <w:tc>
          <w:tcPr>
            <w:tcW w:w="43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42FA1">
            <w:pPr>
              <w:spacing w:before="0" w:after="0" w:line="360" w:lineRule="auto"/>
              <w:jc w:val="left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建立运营看板、复盘机制、反馈闭环和角色下线机制。</w:t>
            </w:r>
          </w:p>
        </w:tc>
      </w:tr>
    </w:tbl>
    <w:p w14:paraId="3594E6AE">
      <w:pPr>
        <w:pStyle w:val="2"/>
        <w:pageBreakBefore/>
        <w:spacing w:before="280" w:after="180" w:line="420" w:lineRule="auto"/>
      </w:pPr>
      <w:r>
        <w:rPr>
          <w:rFonts w:ascii="仿宋" w:hAnsi="仿宋" w:eastAsia="仿宋" w:cs="仿宋"/>
          <w:b/>
          <w:bCs/>
          <w:sz w:val="32"/>
          <w:szCs w:val="32"/>
        </w:rPr>
        <w:t>七、结论与建议</w:t>
      </w:r>
    </w:p>
    <w:p w14:paraId="7EC7A935">
      <w:pPr>
        <w:spacing w:before="80" w:after="80" w:line="420" w:lineRule="auto"/>
        <w:jc w:val="both"/>
      </w:pPr>
      <w:r>
        <w:rPr>
          <w:rFonts w:ascii="仿宋" w:hAnsi="仿宋" w:eastAsia="仿宋" w:cs="仿宋"/>
          <w:sz w:val="28"/>
          <w:szCs w:val="28"/>
        </w:rPr>
        <w:t>企业级通用多Agent数字员工平台的建设价值，不在于单独完成某一个业务流程，而在于形成一套可持续扩展的企业AI执行与协同底座。采购、知识检索、项目周报等场景可以作为首批验证样例，用来验证多角色协作、规则预检、人工审核和审计归档；但方案主线应始终围绕数字员工角色库、流程编排、知识工具接入、权限审计和运营评测等平台能力展开。</w:t>
      </w:r>
    </w:p>
    <w:p w14:paraId="7D7432BD">
      <w:pPr>
        <w:spacing w:before="80" w:after="80" w:line="420" w:lineRule="auto"/>
        <w:jc w:val="both"/>
      </w:pPr>
      <w:r>
        <w:rPr>
          <w:rFonts w:ascii="仿宋" w:hAnsi="仿宋" w:eastAsia="仿宋" w:cs="仿宋"/>
          <w:sz w:val="28"/>
          <w:szCs w:val="28"/>
        </w:rPr>
        <w:t>建议按照“通用平台底座先行、首批数字员工验证、复杂流程样例验证、多场景并行试点、运营数据驱动推广”的路径推进。一期应让客户看到：可以在平台中管理多个数字员工，可以配置新角色，可以用同一底座处理多个任务，可以对关键输出进行人工审核和审计追溯。只有这样，方案才真正体现通用多Agent系统的落地价值。</w:t>
      </w:r>
    </w:p>
    <w:sectPr>
      <w:footerReference r:id="rId3" w:type="default"/>
      <w:pgSz w:w="11906" w:h="16838"/>
      <w:pgMar w:top="2098" w:right="1474" w:bottom="1984" w:left="158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39122">
    <w:pPr>
      <w:jc w:val="center"/>
    </w:pPr>
    <w:r>
      <w:rPr>
        <w:rFonts w:ascii="仿宋" w:hAnsi="仿宋" w:eastAsia="仿宋" w:cs="仿宋"/>
        <w:sz w:val="20"/>
        <w:szCs w:val="20"/>
      </w:rPr>
      <w:t xml:space="preserve">第 </w:t>
    </w:r>
    <w:r>
      <w:rPr>
        <w:rFonts w:ascii="仿宋" w:hAnsi="仿宋" w:eastAsia="仿宋" w:cs="仿宋"/>
        <w:sz w:val="20"/>
        <w:szCs w:val="20"/>
      </w:rPr>
      <w:fldChar w:fldCharType="begin"/>
    </w:r>
    <w:r>
      <w:rPr>
        <w:rFonts w:ascii="仿宋" w:hAnsi="仿宋" w:eastAsia="仿宋" w:cs="仿宋"/>
        <w:sz w:val="20"/>
        <w:szCs w:val="20"/>
      </w:rPr>
      <w:instrText xml:space="preserve">PAGE</w:instrText>
    </w:r>
    <w:r>
      <w:rPr>
        <w:rFonts w:ascii="仿宋" w:hAnsi="仿宋" w:eastAsia="仿宋" w:cs="仿宋"/>
        <w:sz w:val="20"/>
        <w:szCs w:val="20"/>
      </w:rPr>
      <w:fldChar w:fldCharType="separate"/>
    </w:r>
    <w:r>
      <w:rPr>
        <w:rFonts w:ascii="仿宋" w:hAnsi="仿宋" w:eastAsia="仿宋" w:cs="仿宋"/>
        <w:sz w:val="20"/>
        <w:szCs w:val="20"/>
      </w:rPr>
      <w:fldChar w:fldCharType="end"/>
    </w:r>
    <w:r>
      <w:rPr>
        <w:rFonts w:ascii="仿宋" w:hAnsi="仿宋" w:eastAsia="仿宋" w:cs="仿宋"/>
        <w:sz w:val="20"/>
        <w:szCs w:val="20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D79C"/>
    <w:multiLevelType w:val="singleLevel"/>
    <w:tmpl w:val="BFFED79C"/>
    <w:lvl w:ilvl="0" w:tentative="0">
      <w:start w:val="1"/>
      <w:numFmt w:val="bullet"/>
      <w:lvlText w:val="●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VhYjMxYmUwOWY5YTVkNDAzZGZhNjgzYzUwOGQ5NzMifQ=="/>
  </w:docVars>
  <w:rsids>
    <w:rsidRoot w:val="00000000"/>
    <w:rsid w:val="CEF764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="仿宋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="仿宋"/>
      <w:sz w:val="28"/>
      <w:szCs w:val="28"/>
    </w:rPr>
  </w:style>
  <w:style w:type="paragraph" w:styleId="2">
    <w:name w:val="heading 1"/>
    <w:next w:val="1"/>
    <w:qFormat/>
    <w:uiPriority w:val="0"/>
    <w:pPr>
      <w:spacing w:before="280" w:after="180" w:line="420" w:lineRule="auto"/>
      <w:outlineLvl w:val="0"/>
    </w:pPr>
    <w:rPr>
      <w:rFonts w:ascii="仿宋" w:hAnsi="仿宋" w:eastAsia="仿宋" w:cs="仿宋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 w:line="420" w:lineRule="auto"/>
      <w:outlineLvl w:val="1"/>
    </w:pPr>
    <w:rPr>
      <w:rFonts w:ascii="仿宋" w:hAnsi="仿宋" w:eastAsia="仿宋" w:cs="仿宋"/>
      <w:b/>
      <w:bCs/>
      <w:sz w:val="30"/>
      <w:szCs w:val="30"/>
    </w:rPr>
  </w:style>
  <w:style w:type="paragraph" w:styleId="4">
    <w:name w:val="heading 3"/>
    <w:next w:val="1"/>
    <w:qFormat/>
    <w:uiPriority w:val="0"/>
    <w:pPr>
      <w:spacing w:line="420" w:lineRule="auto"/>
    </w:pPr>
    <w:rPr>
      <w:rFonts w:ascii="仿宋" w:hAnsi="仿宋" w:eastAsia="仿宋" w:cs="仿宋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420" w:lineRule="auto"/>
    </w:pPr>
    <w:rPr>
      <w:rFonts w:ascii="仿宋" w:hAnsi="仿宋" w:eastAsia="仿宋" w:cs="仿宋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pPr>
      <w:spacing w:line="420" w:lineRule="auto"/>
    </w:pPr>
    <w:rPr>
      <w:rFonts w:ascii="仿宋" w:hAnsi="仿宋" w:eastAsia="仿宋" w:cs="仿宋"/>
      <w:color w:val="2E74B5"/>
      <w:sz w:val="28"/>
      <w:szCs w:val="28"/>
    </w:rPr>
  </w:style>
  <w:style w:type="paragraph" w:styleId="7">
    <w:name w:val="heading 6"/>
    <w:next w:val="1"/>
    <w:qFormat/>
    <w:uiPriority w:val="0"/>
    <w:pPr>
      <w:spacing w:line="420" w:lineRule="auto"/>
    </w:pPr>
    <w:rPr>
      <w:rFonts w:ascii="仿宋" w:hAnsi="仿宋" w:eastAsia="仿宋" w:cs="仿宋"/>
      <w:color w:val="1F4D78"/>
      <w:sz w:val="28"/>
      <w:szCs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0">
    <w:name w:val="Title"/>
    <w:qFormat/>
    <w:uiPriority w:val="0"/>
    <w:pPr>
      <w:spacing w:line="420" w:lineRule="auto"/>
    </w:pPr>
    <w:rPr>
      <w:rFonts w:ascii="仿宋" w:hAnsi="仿宋" w:eastAsia="仿宋" w:cs="仿宋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420" w:lineRule="auto"/>
    </w:pPr>
    <w:rPr>
      <w:rFonts w:ascii="仿宋" w:hAnsi="仿宋" w:eastAsia="仿宋" w:cs="仿宋"/>
      <w:sz w:val="28"/>
      <w:szCs w:val="28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1</TotalTime>
  <ScaleCrop>false</ScaleCrop>
  <LinksUpToDate>false</LinksUpToDate>
  <Application>WPS Office_6.12.1.8902_F1E327BC-269C-435d-A152-05C5408002CA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dc:description>通用数字员工体系、多Agent流程编排、跨场景业务自动化、人机协同监管、权限审计与持续运营方案</dc:description>
  <cp:lastModifiedBy>Dean</cp:lastModifiedBy>
  <dcterms:modified xsi:type="dcterms:W3CDTF">2026-05-12T11:18:45Z</dcterms:modified>
  <dc:title>企业级通用多Agent数字员工平台可行性及落地实施方案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E6F847EBA25938FA159C026A788F574C_42</vt:lpwstr>
  </property>
</Properties>
</file>