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160" w:before="160" w:line="480"/>
        <w:jc w:val="center"/>
      </w:pPr>
      <w:r>
        <w:rPr>
          <w:rFonts w:ascii="仿宋" w:cs="仿宋" w:eastAsia="仿宋" w:hAnsi="仿宋"/>
          <w:b/>
          <w:bCs/>
          <w:sz w:val="44"/>
          <w:szCs w:val="44"/>
        </w:rPr>
        <w:t xml:space="preserve">企业内部知识库与流转体系可行性及落地方案</w:t>
      </w:r>
    </w:p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44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文件属性</w:t>
            </w:r>
          </w:p>
        </w:tc>
        <w:tc>
          <w:tcPr>
            <w:tcW w:type="dxa" w:w="6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文档密级</w:t>
            </w:r>
          </w:p>
        </w:tc>
        <w:tc>
          <w:tcPr>
            <w:tcW w:type="dxa" w:w="6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内部资料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适用范围</w:t>
            </w:r>
          </w:p>
        </w:tc>
        <w:tc>
          <w:tcPr>
            <w:tcW w:type="dxa" w:w="6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私有化知识库建设、知识流转治理、知识分类、版本控制、权限审计及知识应用支撑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编制日期</w:t>
            </w:r>
          </w:p>
        </w:tc>
        <w:tc>
          <w:tcPr>
            <w:tcW w:type="dxa" w:w="6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2026年5月12日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版本</w:t>
            </w:r>
          </w:p>
        </w:tc>
        <w:tc>
          <w:tcPr>
            <w:tcW w:type="dxa" w:w="6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V1.3</w:t>
            </w:r>
          </w:p>
        </w:tc>
      </w:tr>
    </w:tbl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100" w:before="100"/>
        <w:jc w:val="both"/>
      </w:pPr>
      <w:r>
        <w:rPr>
          <w:rFonts w:ascii="仿宋" w:cs="仿宋" w:eastAsia="仿宋" w:hAnsi="仿宋"/>
          <w:sz w:val="28"/>
          <w:szCs w:val="28"/>
        </w:rPr>
        <w:t xml:space="preserve"/>
      </w:r>
    </w:p>
    <w:p>
      <w:pPr>
        <w:spacing w:after="80" w:before="80"/>
        <w:jc w:val="center"/>
      </w:pPr>
      <w:r>
        <w:rPr>
          <w:rFonts w:ascii="仿宋" w:cs="仿宋" w:eastAsia="仿宋" w:hAnsi="仿宋"/>
          <w:sz w:val="28"/>
          <w:szCs w:val="28"/>
        </w:rPr>
        <w:t xml:space="preserve">编制单位：幻谱科技</w:t>
      </w:r>
    </w:p>
    <w:p>
      <w:pPr>
        <w:sectPr>
          <w:pgSz w:w="11906" w:h="16838" w:orient="portrait"/>
          <w:pgMar w:top="2098" w:right="1474" w:bottom="1984" w:left="1588" w:header="708" w:footer="708" w:gutter="0"/>
          <w:pgNumType/>
          <w:docGrid w:linePitch="360"/>
        </w:sectPr>
      </w:pPr>
    </w:p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一、项目背景与建设必要性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（一）建设背景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公司在销售、咨询、业务、开发、交付及人力资源等工作过程中，持续产生大量调研笔记、客户沟通记录、方案文档、招投标材料、需求说明、代码实践、项目复盘与面试记录等过程资料。随着项目数量、客户类型和团队规模增加，知识资产的沉淀、复用、安全和运营问题逐渐显性化，需要通过统一的知识治理体系进行系统化管理。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面向央国企客户的数据私密性、内外网隔离及合规审计要求，知识资产管理不能单纯依赖公共云知识库或外部大模型服务。建设私有化知识库与受控流转体系，有助于将日常过程资料转化为可检索、可复用、可审计、可赋能业务生产的组织级知识资产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（二）现状问题分析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544"/>
      </w:tblGrid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问题点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具体表现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对客户的影响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资料分散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过程资料分布在个人电脑、即时通讯工具、网盘、项目目录、代码仓库和各类业务系统中。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员工难以及时找到可复用资料，项目经验无法被组织稳定复用。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沉淀不完整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调研记录、客户沟通、项目复盘、代码实践、面试记录等内容经常只停留在个人或局部团队。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人员变动或项目结束后，关键经验容易流失。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版本来源难追踪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同一方案、模板或交付文档存在多个版本，来源、责任人、适用范围和有效期不清晰。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复用时容易引用过期或错误内容，影响方案质量和客户交付。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复用效率低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售前方案、投标材料、交付文档、技术实践和面试评估材料重复查找、重复编写。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增加人工成本，拉长响应周期，影响业务效率。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权限边界不清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客户资料、合同条款、源代码、报价信息和敏感人员信息缺少统一密级和授权控制。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存在数据泄露、越权访问和合规审计风险。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知识质量缺少治理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知识入库缺少审核、评分、过期复核和下架机制。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低质量、过期或未经确认的信息可能被继续复用。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AI应用缺少可信知识源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方案生成、代码辅助、面试辅助和多Agent系统缺少可追溯、可权限过滤的企业知识来源。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AI输出容易缺少依据，难以进入正式业务场景。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（三）建设目标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844"/>
      </w:tblGrid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对应问题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建设目标/解决方式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关键产出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资料分散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建设统一知识入口和资料采集机制，支持文件上传、目录接入、表单提交和链接引用。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知识提交入口、采集规则、知识卡片、来源记录。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沉淀不完整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将知识入库与项目复盘、售前归档、交付复盘、招聘评估等业务动作绑定。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入库流程、审核节点、场景化入库模板。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版本来源难追踪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建立元数据、版本号、责任人、适用范围、生效状态和生命周期管理机制。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元数据规范、版本记录、变更说明、过期提醒。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复用效率低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建设多维分类、全文检索、向量检索、语义问答、模板推荐和相似案例推荐能力。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分类体系、标签体系、知识地图、检索索引、问答服务。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权限边界不清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建立密级分类、角色授权、项目授权、脱敏策略和访问审计机制。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权限矩阵、密级规则、脱敏规则、访问日志。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知识质量缺少治理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建立专家审核、质量评分、用户反馈、过期复核、整改和下架机制。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审核流程、质量评分、反馈记录、生命周期规则。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AI应用缺少可信知识源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建设私有化模型网关和知识服务接口，为上层AI应用提供带引用、可审计、按权限过滤的知识服务。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知识服务API、引用溯源、模型调用审计、RAG能力底座。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（四）建设价值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在完成统一知识入口、分类治理、权限审计、检索问答和知识服务接口建设后，客户首先获得的是对当前知识管理痛点的直接改善。该部分重点说明系统建设对业务效率、知识资产、安全合规和AI应用底座带来的直接价值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444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价值维度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客户当前痛点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建设后的价值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知识资产保全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项目经验、方案材料、技术实践和客户资料分散在个人、群聊、网盘和项目目录中。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将分散资料转化为组织级知识资产，减少人员流动造成的经验流失。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复用效率提升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售前方案、调研材料、交付文档和代码实践重复查找、重复编写。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通过统一检索、标签分类、模板推荐和相似案例推荐，提高复用效率。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新人培养提速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新人依赖师傅带教和零散材料，理解业务、行业和技术栈周期长。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通过知识地图、案例库、问答和标准模板，缩短新人上手时间。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质量与一致性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文档质量、方案口径、项目复盘和技术规范依赖个人经验。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通过入库审核、版本管理、领域专家评审和质量评分提升知识可靠性。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安全合规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涉密资料和客户专属信息缺少统一密级、授权和审计。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按密级、部门、项目和角色控制访问，形成访问、引用和模型调用审计。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AI应用底座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上层AI应用缺少可信、可追溯、可权限过滤的企业知识来源。</w:t>
            </w:r>
          </w:p>
        </w:tc>
        <w:tc>
          <w:tcPr>
            <w:tcW w:type="dxa" w:w="34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为方案生成、代码辅助、面试辅助、多Agent平台提供受控知识服务。</w:t>
            </w:r>
          </w:p>
        </w:tc>
      </w:tr>
    </w:tbl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二、需求理解、建设范围与可行性判断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（一）核心需求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2944"/>
      </w:tblGrid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需求方向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需求说明</w:t>
            </w:r>
          </w:p>
        </w:tc>
        <w:tc>
          <w:tcPr>
            <w:tcW w:type="dxa" w:w="2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关键产出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全流程在线化沉淀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员工日常产生的调研笔记、沟通记录、方案文档、需求文档、代码实践等资料通过在线系统受控流转。</w:t>
            </w:r>
          </w:p>
        </w:tc>
        <w:tc>
          <w:tcPr>
            <w:tcW w:type="dxa" w:w="2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入库申请、审核流、版本记录、知识卡片、归档目录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多维度知识分类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按岗位、行业、客户、项目阶段、技术栈、业务主题、密级等维度组织知识。</w:t>
            </w:r>
          </w:p>
        </w:tc>
        <w:tc>
          <w:tcPr>
            <w:tcW w:type="dxa" w:w="2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分类体系、标签体系、知识地图、检索索引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知识应用支撑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通过标准检索、问答、引用溯源和接口服务，为面试辅助、方案生成、代码辅助等上层应用提供知识支撑。</w:t>
            </w:r>
          </w:p>
        </w:tc>
        <w:tc>
          <w:tcPr>
            <w:tcW w:type="dxa" w:w="2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知识服务接口、引用来源、检索结果、调用记录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私有化模型部署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结合内外网隔离与客户数据安全要求，自建服务器部署大模型或大模型网关。</w:t>
            </w:r>
          </w:p>
        </w:tc>
        <w:tc>
          <w:tcPr>
            <w:tcW w:type="dxa" w:w="2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模型服务、推理接口、审计日志、运维监控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（二）建设边界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一期优先解决知识流转、知识入库、知识分类、版本控制、检索问答、权限管理和审计追踪，不一次性替代现有OA、项目管理、代码仓库和文档系统。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系统定位为企业知识中台和知识服务层，原系统继续承载业务主数据和正式流程，知识库负责跨系统知识沉淀、检索复用、引用溯源和知识服务接口。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涉密客户资料、合同原件、源代码和生产数据按照公司保密制度进行分级处理，高敏数据默认不进入模型训练集，仅允许在授权范围内用于检索增强问答。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国外模型能力可作为效果基准和技术验证方向，但生产环境应以可私有化部署、可审计、可控网络路径为前提。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（三）与既有系统的关系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私有化知识库与流转体系不应建设成孤立资料库，也不应替代现有OA、项目管理、代码仓库、网盘、文档系统和人力系统。更合适的定位是企业知识中台：从既有系统中受控接收知识对象、沉淀元数据和版本记录，经过审核、分类、索引和权限处理后，向员工和上层AI应用提供可检索、可引用、可审计的知识服务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644"/>
      </w:tblGrid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职责边界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既有业务/协作系统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私有化知识库与流转体系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业务主数据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继续维护项目、客户、合同、代码、人员、流程单据等权威数据。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只沉淀经授权的知识副本、摘要、标签、向量索引和引用关系。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正式流程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继续负责OA审批、项目流程、代码提交、文档发布和人事流程。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负责入库申请、知识审核、密级审批、版本追踪和下架流程。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知识服务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提供原始资料、流程节点、项目上下文和文档来源。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提供统一检索、语义问答、引用溯源、模板推荐和知识接口。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系统操作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保留生产写入、权限生效、代码合并和正式发布控制。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一期以只读接入、导入导出、链接引用和人工审核后入库为主。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审计责任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保留原业务流程和系统操作日志。</w:t>
            </w:r>
          </w:p>
        </w:tc>
        <w:tc>
          <w:tcPr>
            <w:tcW w:type="dxa" w:w="36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补充知识来源、审核记录、访问记录、模型调用和引用记录。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（四）可行性判断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2844"/>
      </w:tblGrid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可行性维度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判断依据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落地建议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业务可行性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项目直接对应知识资产流失、重复劳动、方案复用不足和经验传承依赖个人等痛点。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从高频知识沉淀场景切入，先验证知识入库、检索复用和权限审计闭环。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技术可行性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OCR、语音转文字、向量检索、RAG、大模型推理、权限审计和工作流引擎均具备成熟技术路线。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采用文档管理、工作流、全文检索、向量数据库、大模型服务和应用接口组合建设。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安全可行性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私有化部署、内网隔离、分级授权、日志审计、脱敏和模型调用留痕可满足央国企客户基本合规要求。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生产数据默认不出内网，外部模型仅用于离线评测、低敏验证或提示词优化。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组织可行性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知识库建设需要业务、咨询、开发、HR、信息化和安全管理共同参与。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将知识入库与项目复盘、售前归档、交付复盘、招聘评估等现有动作绑定。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经济可行性</w:t>
            </w:r>
          </w:p>
        </w:tc>
        <w:tc>
          <w:tcPr>
            <w:tcW w:type="dxa" w:w="4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投入主要包括服务器、存储、模型部署、系统集成、数据治理和运维成本。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分期建设，先形成最小可用闭环，再扩展知识服务和AI应用场景。</w:t>
            </w:r>
          </w:p>
        </w:tc>
      </w:tr>
    </w:tbl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三、总体建设方案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（一）系统定位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系统定位为企业知识中台和知识服务底座，负责承接既有业务系统、项目资料、文档资料和人员经验中的可复用知识，将其转化为可管理、可检索、可引用、可审计的知识资产。系统不替代原业务系统的主数据和正式流程，而是在授权范围内建立知识副本、摘要、标签、向量索引和引用关系，并向业务人员及上层AI应用提供统一知识服务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（二）总体架构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344"/>
      </w:tblGrid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组成内容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数据接入层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文档上传、语音转文字、会议纪要、项目资料、代码片段、表单采集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负责将过程资料标准化采集，并形成可入库对象。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流程治理层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入库申请、部门审核、密级审批、版本控制、发布下架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确保知识流转受控，形成责任人和审批记录。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知识管理层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分类标签、元数据、全文索引、向量索引、知识地图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支持按岗位、行业、项目阶段和技术主题进行组织。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模型能力层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私有化大模型、嵌入模型、重排模型、语音识别模型、模型网关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提供问答、摘要、抽取、评估、生成和审计能力。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知识服务层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统一检索、知识问答、引用溯源、标签推荐、开放接口、调用审计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为业务系统和上层AI应用提供受控知识服务。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安全运维层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权限、审计、脱敏、备份、监控、模型评测</w:t>
            </w:r>
          </w:p>
        </w:tc>
        <w:tc>
          <w:tcPr>
            <w:tcW w:type="dxa" w:w="43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保障系统稳定运行和数据合规。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（三）推荐技术路线</w:t>
      </w:r>
    </w:p>
    <w:p>
      <w:pPr>
        <w:pStyle w:val="ListParagraph"/>
        <w:numPr>
          <w:ilvl w:val="0"/>
          <w:numId w:val="3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知识库底座采用文档对象存储、关系型数据库、全文检索引擎和向量数据库组合，分别承载原文、元数据、关键词检索和语义检索。</w:t>
      </w:r>
    </w:p>
    <w:p>
      <w:pPr>
        <w:pStyle w:val="ListParagraph"/>
        <w:numPr>
          <w:ilvl w:val="0"/>
          <w:numId w:val="3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问答与生成采用RAG路线，模型不直接记忆敏感资料，而是在授权范围内检索相关知识片段后生成答案，降低数据泄露和幻觉风险。</w:t>
      </w:r>
    </w:p>
    <w:p>
      <w:pPr>
        <w:pStyle w:val="ListParagraph"/>
        <w:numPr>
          <w:ilvl w:val="0"/>
          <w:numId w:val="3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上层应用通过标准接口调用知识库能力，面试辅助、方案生成、代码辅助等场景只消费知识库服务，不改变知识库本体的治理边界。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（四）模型与部署策略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安全优先：生产数据默认不出内网，模型调用过程可审计。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效果可评测：建立统一评测集，优先覆盖知识检索、知识问答、引用准确性、权限控制和复用效果等知识库核心指标。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架构可替换：通过模型网关屏蔽底层差异，避免被单一模型绑定。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成本可控：根据场景区分大模型、小模型、嵌入模型和规则引擎，不让所有任务都走高成本推理。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000"/>
        <w:gridCol w:w="2844"/>
      </w:tblGrid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模型路径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适用场景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优点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限制与建议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国产开源模型私有化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内网知识问答、摘要、信息抽取、一般文档生成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部署可控，数据不出域，成本可管理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复杂推理和长文生成需评测调优，建议结合RAG和重排模型提升效果。</w:t>
            </w:r>
          </w:p>
        </w:tc>
      </w:tr>
      <w:tr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混合模型网关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多场景统一调用、灰度切换、审计管理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便于模型替换、限流、日志和成本统计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需建设统一鉴权、提示词模板和调用策略。</w:t>
            </w:r>
          </w:p>
        </w:tc>
      </w:tr>
    </w:tbl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一期建议采用“私有化开源大模型+私有嵌入模型+向量数据库+模型网关”的部署方式，先满足内网可用和核心场景闭环。服务器资源可按并发和模型规模分级规划，知识库检索、文档解析和语音识别可独立部署，避免所有服务争抢GPU资源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（五）安全与权限设计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建立密级分类、角色授权、项目授权和部门授权机制，确保用户只能检索和调用授权范围内的知识。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对涉密客户资料、合同信息、源代码、报价信息和敏感人员信息进行脱敏、审批和访问审计。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模型调用统一经过模型网关，记录调用人、调用时间、知识来源、引用片段、返回结果和异常信息。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通过备份恢复、日志留存、监控告警和降级策略保障系统持续可用。</w:t>
      </w:r>
    </w:p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四、核心功能落地设计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（一）知识全流程在线化沉淀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544"/>
      </w:tblGrid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流程环节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主要动作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控制要求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资料提交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员工上传调研笔记、沟通记录、方案文档、代码实践、复盘材料等。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必须填写来源、岗位方向、客户或项目、密级、摘要和建议标签。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自动预处理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系统进行格式解析、去重、摘要、关键词抽取、敏感词识别和质量评分。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低质量或疑似涉密内容进入人工复核。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入库申请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提交人选择知识类型、适用范围、可见部门和有效期。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形成入库申请单，绑定原始文件和版本号。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审核发布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知识管理员和领域专家审核内容准确性、保密性和可复用性。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审批通过后发布，驳回需说明原因。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版本控制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每次修改形成新版本，保留历史版本和变更说明。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默认只展示最新生效版本，历史版本可追溯。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运营评价</w:t>
            </w:r>
          </w:p>
        </w:tc>
        <w:tc>
          <w:tcPr>
            <w:tcW w:type="dxa" w:w="3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记录浏览、收藏、引用、问答命中和用户评价。</w:t>
            </w:r>
          </w:p>
        </w:tc>
        <w:tc>
          <w:tcPr>
            <w:tcW w:type="dxa" w:w="35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用于知识热度、质量和过期提醒。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（二）多维度知识分类体系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建议采用“岗位方向+业务主题+行业客户+项目阶段+技术栈+密级+生命周期”的复合分类方式，避免单一目录导致知识难以复用。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44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分类维度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岗位方向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销售、咨询、业务、开发、测试、运维、交付、HR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业务主题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LTC、项目管理、合同管理、成本管理、供应链、数据治理、AI应用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行业客户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央企、国企、制造、能源、交通、建筑、金融等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项目阶段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线索、商机、调研、方案、投标、实施、上线、运维、复盘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技术栈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Java、Python、前端、数据库、低代码、模型服务、接口集成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安全密级</w:t>
            </w:r>
          </w:p>
        </w:tc>
        <w:tc>
          <w:tcPr>
            <w:tcW w:type="dxa" w:w="6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公开内部、部门可见、项目可见、敏感、严格受控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（三）知识检索与复用服务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统一检索：支持按关键词、标签、岗位方向、业务主题、项目阶段、客户行业和技术栈检索知识。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语义问答：在权限范围内基于知识片段生成回答，并展示引用来源、版本号和适用范围。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相似推荐：根据当前项目、客户、需求或文档内容推荐可复用知识、案例、模板和历史经验。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接口支撑：向面试辅助、方案生成、代码辅助等上层应用提供受控调用接口和审计记录。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（四）引用溯源与版本管理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知识条目保留来源文件、提交人、责任人、版本号、发布时间、适用范围和引用关系。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回答、摘要、推荐和模板复用结果应展示引用来源，便于业务人员复核和追溯。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知识更新、失效、下架和恢复均形成操作记录，避免过期知识被继续正式复用。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（五）知识应用边界说明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面试辅助、方案生成和代码辅助属于知识库的应用价值场景，不属于本项目知识库本体的核心功能。知识库负责沉淀、治理、分类、检索、授权、版本和审计，并通过标准接口向上述应用提供知识来源、引用依据和权限控制。上层应用的语音转文字、候选人评分、方案撰写、代码生成等能力，应作为独立应用或后续扩展项目建设。</w:t>
      </w:r>
    </w:p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五、实施路径与分期计划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（一）分期建设路线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000"/>
        <w:gridCol w:w="1244"/>
      </w:tblGrid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3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客户侧目标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能力演进</w:t>
            </w:r>
          </w:p>
        </w:tc>
        <w:tc>
          <w:tcPr>
            <w:tcW w:type="dxa" w:w="12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客户价值体现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一期：知识闭环</w:t>
            </w:r>
          </w:p>
        </w:tc>
        <w:tc>
          <w:tcPr>
            <w:tcW w:type="dxa" w:w="3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建立可用的知识入库、审核、检索、问答和权限审计闭环。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完成知识分类、入库流程、全文/向量检索、引用溯源和轻量接入。</w:t>
            </w:r>
          </w:p>
        </w:tc>
        <w:tc>
          <w:tcPr>
            <w:tcW w:type="dxa" w:w="12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让员工能找到、用到、追溯到高质量知识。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二期：流程联动</w:t>
            </w:r>
          </w:p>
        </w:tc>
        <w:tc>
          <w:tcPr>
            <w:tcW w:type="dxa" w:w="3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把知识沉淀嵌入项目复盘、交付复盘、售前归档、招聘评估等日常流程。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对接OA、项目管理、文档系统、代码仓库和消息系统。</w:t>
            </w:r>
          </w:p>
        </w:tc>
        <w:tc>
          <w:tcPr>
            <w:tcW w:type="dxa" w:w="12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减少额外填报负担，让知识沉淀成为业务流程的一部分。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三期：知识服务开放</w:t>
            </w:r>
          </w:p>
        </w:tc>
        <w:tc>
          <w:tcPr>
            <w:tcW w:type="dxa" w:w="3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让知识库成为企业AI应用的可信知识底座。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向方案生成、代码辅助、面试辅助、多Agent平台开放知识服务API。</w:t>
            </w:r>
          </w:p>
        </w:tc>
        <w:tc>
          <w:tcPr>
            <w:tcW w:type="dxa" w:w="12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支撑更多AI应用，避免每个应用重复建设知识源。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长期：知识运营体系</w:t>
            </w:r>
          </w:p>
        </w:tc>
        <w:tc>
          <w:tcPr>
            <w:tcW w:type="dxa" w:w="3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持续提升知识质量、复用率和组织能力沉淀。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建设知识运营看板、质量榜单、过期治理、专家共创和激励机制。</w:t>
            </w:r>
          </w:p>
        </w:tc>
        <w:tc>
          <w:tcPr>
            <w:tcW w:type="dxa" w:w="12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形成可持续运营的企业知识资产体系。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（二）实施计划与里程碑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900"/>
        <w:gridCol w:w="2044"/>
      </w:tblGrid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周期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重点工作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交付物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阶段一：调研与方案设计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第1-2周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梳理知识类型、流程角色、权限边界、既有系统分工、知识服务场景和评测样本。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需求说明、分类体系、系统边界说明、技术方案、实施计划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阶段二：最小闭环建设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第3-6周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搭建文档入库、审核流、全文检索、向量检索、基础问答、权限审计和轻量数据接入。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知识库MVP、入库流程、检索问答原型、轻量接入样例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阶段三：知识复用试点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第7-10周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选择销售、咨询、业务、开发等典型岗位试点知识检索、问答、引用溯源、模板复用和流程触发。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试点知识目录、复用案例、评测报告、联调说明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阶段四：安全加固与推广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第11-14周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完善脱敏、日志审计、备份、监控、运营看板、知识管理员机制和系统集成策略。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试运行报告、运维手册、接口说明、推广计划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阶段五：持续运营优化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长期</w:t>
            </w:r>
          </w:p>
        </w:tc>
        <w:tc>
          <w:tcPr>
            <w:tcW w:type="dxa" w:w="3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根据使用数据优化分类、标签、模型、知识质量和知识应用场景。</w:t>
            </w:r>
          </w:p>
        </w:tc>
        <w:tc>
          <w:tcPr>
            <w:tcW w:type="dxa" w:w="20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月度运营报告、模型优化记录、知识质量榜单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（三）分阶段集成策略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700"/>
        <w:gridCol w:w="1944"/>
      </w:tblGrid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集成方式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适用目标</w:t>
            </w:r>
          </w:p>
        </w:tc>
        <w:tc>
          <w:tcPr>
            <w:tcW w:type="dxa" w:w="1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风险控制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一期：轻量接入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接入统一身份、文档目录、共享文件夹、项目资料样例和消息提醒。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先跑通知识提交、审核、检索问答、引用溯源和权限审计闭环。</w:t>
            </w:r>
          </w:p>
        </w:tc>
        <w:tc>
          <w:tcPr>
            <w:tcW w:type="dxa" w:w="1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不改变原系统主数据和正式流程，知识入库经人工审核确认。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二期：流程嵌入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与OA、项目管理、代码仓库、文档系统建立接口或入口嵌入。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让项目复盘、交付复盘、售前归档、招聘评估等动作自动触发入库流程。</w:t>
            </w:r>
          </w:p>
        </w:tc>
        <w:tc>
          <w:tcPr>
            <w:tcW w:type="dxa" w:w="1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入库范围按密级、部门和项目权限控制，敏感内容脱敏后索引。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三期：知识服务开放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向方案生成、代码辅助、面试辅助、多Agent平台等上层应用开放知识服务API。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让知识库成为企业AI应用的可信知识来源。</w:t>
            </w:r>
          </w:p>
        </w:tc>
        <w:tc>
          <w:tcPr>
            <w:tcW w:type="dxa" w:w="19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调用过程留痕，按用户权限过滤知识片段和引用内容。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（四）客户侧投入与配合事项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844"/>
      </w:tblGrid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配合事项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客户需提供内容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对项目价值的影响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知识范围确认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明确首批知识类型、试点部门、密级范围和优先沉淀场景。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决定一期知识库能否聚焦高价值内容。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样例资料准备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提供方案、投标、项目复盘、技术实践、面试记录等样例资料。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决定分类体系、检索效果和问答质量的初始水平。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专家审核机制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安排领域专家、知识管理员和安全管理员参与入库审核。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决定知识质量、专业准确性和安全边界。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系统接入支持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提供统一身份、文档目录、项目资料、消息提醒或模拟接口。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决定知识沉淀能否融入日常工作流程。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运营激励机制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明确知识贡献、复用反馈、质量评分和过期复核机制。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决定知识库是否能持续增长和保持有效。</w:t>
            </w:r>
          </w:p>
        </w:tc>
      </w:tr>
    </w:tbl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（五）后续延伸方向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在上述问题得到解决后，系统不只停留在文档管理或知识检索层面，还可以继续沉淀为企业级知识运营能力，并支撑更多业务场景的智能化升级。该部分重点说明系统建成后的持续扩展效果。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844"/>
      </w:tblGrid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延伸方向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能力体现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长期价值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组织经验产品化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将项目经验、行业方案、技术实践和管理方法沉淀为可复制知识资产。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减少对个人经验的依赖，提升组织能力稳定性。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业务协同标准化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不同部门围绕统一分类、模板、术语和案例开展协作。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减少沟通成本，提高售前、交付、研发和HR之间的信息一致性。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管理决策可视化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通过知识新增、引用、热门、过期、质量评分和访问数据形成运营看板。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帮助管理层识别高价值知识、薄弱领域和专家资源。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AI应用可持续扩展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知识库成为方案生成、代码辅助、面试辅助、多Agent平台等应用的可信知识底座。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后续新增AI应用时无需重复建设知识源。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新人培养体系化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通过知识地图、案例库、标准模板和问答能力支持新人学习。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缩短培养周期，降低人员变动对项目交付的影响。</w:t>
            </w:r>
          </w:p>
        </w:tc>
      </w:tr>
      <w:tr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合规能力前置化</w:t>
            </w:r>
          </w:p>
        </w:tc>
        <w:tc>
          <w:tcPr>
            <w:tcW w:type="dxa" w:w="4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敏感知识在入库、检索、问答和调用环节均受权限和审计控制。</w:t>
            </w:r>
          </w:p>
        </w:tc>
        <w:tc>
          <w:tcPr>
            <w:tcW w:type="dxa" w:w="28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让知识复用和AI调用在安全边界内发生。</w:t>
            </w:r>
          </w:p>
        </w:tc>
      </w:tr>
    </w:tbl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六、投入估算与风险应对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（一）投入构成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基础设施：GPU服务器、CPU应用服务器、对象存储、数据库、备份空间和安全设备。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软件平台：工作流、文档解析、全文检索、向量数据库、模型推理框架、模型网关和监控审计组件。</w:t>
      </w:r>
    </w:p>
    <w:p>
      <w:pPr>
        <w:pStyle w:val="ListParagraph"/>
        <w:numPr>
          <w:ilvl w:val="0"/>
          <w:numId w:val="2"/>
        </w:numPr>
        <w:spacing w:after="40" w:before="40" w:line="400"/>
      </w:pPr>
      <w:r>
        <w:rPr>
          <w:rFonts w:ascii="仿宋" w:cs="仿宋" w:eastAsia="仿宋" w:hAnsi="仿宋"/>
          <w:sz w:val="28"/>
          <w:szCs w:val="28"/>
        </w:rPr>
        <w:t xml:space="preserve">实施服务：需求调研、系统开发、数据治理、模型评测、接口集成、培训推广和试运行支持。</w:t>
      </w:r>
    </w:p>
    <w:p>
      <w:pPr>
        <w:pStyle w:val="Heading2"/>
        <w:spacing w:after="120" w:before="220" w:line="420"/>
      </w:pPr>
      <w:r>
        <w:rPr>
          <w:rFonts w:ascii="仿宋" w:cs="仿宋" w:eastAsia="仿宋" w:hAnsi="仿宋"/>
          <w:b/>
          <w:bCs/>
          <w:sz w:val="30"/>
          <w:szCs w:val="30"/>
        </w:rPr>
        <w:t xml:space="preserve">（二）风险分析与应对措施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144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影响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知识质量参差不齐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影响检索和模型生成效果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设置入库模板、质量评分、专家审核和用户反馈机制。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员工提交积极性不足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知识沉淀不持续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将入库与项目复盘、交付复盘、绩效激励和团队贡献评价结合。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模型生成幻觉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可能形成错误建议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采用RAG溯源、答案引用、置信度提示和人工复核。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敏感数据泄露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形成合规和客户风险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落实密级、权限、脱敏、审计、模型网关和内网部署。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网络或模型服务不稳定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影响业务连续性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采用私有化部署、服务监控、降级策略和多模型备用。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系统孤岛化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难以融入现有工作</w:t>
            </w:r>
          </w:p>
        </w:tc>
        <w:tc>
          <w:tcPr>
            <w:tcW w:type="dxa" w:w="414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4"/>
                <w:szCs w:val="24"/>
              </w:rPr>
              <w:t xml:space="preserve">明确知识库作为知识中台，不替代原系统；一期与OA、项目管理、代码仓库、IM和文档系统做轻量集成。</w:t>
            </w:r>
          </w:p>
        </w:tc>
      </w:tr>
    </w:tbl>
    <w:p>
      <w:pPr>
        <w:pStyle w:val="Heading1"/>
        <w:pageBreakBefore/>
        <w:spacing w:after="180" w:before="280" w:line="42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七、结论与建议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建设私有化知识库与流转体系具备明确业务价值、成熟技术路径和较强安全可控性，建议按“先闭环、再扩展、重治理、可评测、轻集成”的原则推进。一期应优先完成知识入库流程、分类标签、版本控制、权限审计、检索问答、知识复用试点和既有系统轻量接入，形成可验证的知识沉淀价值；二期再通过标准接口支撑方案生成、代码辅助、面试辅助等上层应用。</w:t>
      </w:r>
    </w:p>
    <w:p>
      <w:pPr>
        <w:spacing w:after="80" w:before="80" w:line="420"/>
        <w:jc w:val="both"/>
      </w:pPr>
      <w:r>
        <w:rPr>
          <w:rFonts w:ascii="仿宋" w:cs="仿宋" w:eastAsia="仿宋" w:hAnsi="仿宋"/>
          <w:sz w:val="28"/>
          <w:szCs w:val="28"/>
        </w:rPr>
        <w:t xml:space="preserve">模型选型方面，不建议简单押注单一模型。应以私有化可部署模型作为生产基础，以Claude、GPT等先进模型作为效果评测和提示词优化参考，通过统一模型网关保留未来切换能力。对于央国企客户场景，数据安全、网络可控和审计能力应作为上线前置条件。</w:t>
      </w:r>
    </w:p>
    <w:sectPr>
      <w:footerReference w:type="default" r:id="rId7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仿宋" w:cs="仿宋" w:eastAsia="仿宋" w:hAnsi="仿宋"/>
        <w:sz w:val="20"/>
        <w:szCs w:val="20"/>
      </w:rPr>
      <w:t xml:space="preserve">第 </w:t>
    </w:r>
    <w:r>
      <w:rPr>
        <w:rFonts w:ascii="仿宋" w:cs="仿宋" w:eastAsia="仿宋" w:hAnsi="仿宋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仿宋" w:cs="仿宋" w:eastAsia="仿宋" w:hAnsi="仿宋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8"/>
        <w:szCs w:val="28"/>
      </w:rPr>
    </w:rPrDefault>
    <w:pPrDefault>
      <w:pPr>
        <w:spacing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仿宋" w:cs="仿宋" w:eastAsia="仿宋" w:hAnsi="仿宋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仿宋" w:cs="仿宋" w:eastAsia="仿宋" w:hAnsi="仿宋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仿宋" w:cs="仿宋" w:eastAsia="仿宋" w:hAnsi="仿宋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私有化知识库与流转体系可行性及落地方案</dc:title>
  <dc:creator>Codex</dc:creator>
  <dc:description>企业内部知识库建设、知识流转治理、知识分类、版本控制、权限审计与知识应用支撑方案</dc:description>
  <cp:lastModifiedBy>Un-named</cp:lastModifiedBy>
  <cp:revision>1</cp:revision>
  <dcterms:created xsi:type="dcterms:W3CDTF">2026-05-12T03:14:07.295Z</dcterms:created>
  <dcterms:modified xsi:type="dcterms:W3CDTF">2026-05-12T03:14:07.296Z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