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7E997">
      <w:pPr>
        <w:tabs>
          <w:tab w:val="left" w:pos="2880"/>
        </w:tabs>
        <w:jc w:val="center"/>
        <w:rPr>
          <w:rFonts w:ascii="方正仿宋_GB2312" w:hAnsi="方正仿宋_GB2312" w:eastAsia="方正仿宋_GB2312" w:cs="方正仿宋_GB2312"/>
          <w:b/>
          <w:sz w:val="36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sz w:val="36"/>
          <w:szCs w:val="36"/>
        </w:rPr>
        <w:t>上海电力大学</w:t>
      </w:r>
    </w:p>
    <w:p w14:paraId="61F92610">
      <w:pPr>
        <w:spacing w:line="276" w:lineRule="auto"/>
        <w:jc w:val="center"/>
        <w:rPr>
          <w:rFonts w:ascii="方正仿宋_GB2312" w:hAnsi="方正仿宋_GB2312" w:eastAsia="方正仿宋_GB2312" w:cs="方正仿宋_GB2312"/>
          <w:b/>
          <w:bCs/>
          <w:sz w:val="36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6"/>
          <w:szCs w:val="36"/>
        </w:rPr>
        <w:t>课程实验报告</w:t>
      </w:r>
    </w:p>
    <w:p w14:paraId="2E361658">
      <w:pPr>
        <w:spacing w:line="276" w:lineRule="auto"/>
        <w:jc w:val="center"/>
        <w:rPr>
          <w:rFonts w:ascii="KaiTi_GB2312" w:eastAsia="KaiTi_GB2312"/>
          <w:b/>
          <w:bCs/>
          <w:sz w:val="10"/>
          <w:szCs w:val="10"/>
        </w:rPr>
      </w:pPr>
    </w:p>
    <w:p w14:paraId="6C040256">
      <w:pPr>
        <w:jc w:val="center"/>
        <w:rPr>
          <w:rFonts w:ascii="KaiTi_GB2312" w:eastAsia="KaiTi_GB2312"/>
          <w:b/>
          <w:bCs/>
          <w:sz w:val="72"/>
          <w:szCs w:val="72"/>
        </w:rPr>
      </w:pPr>
      <w:r>
        <w:drawing>
          <wp:inline distT="0" distB="0" distL="114300" distR="114300">
            <wp:extent cx="2095500" cy="2095500"/>
            <wp:effectExtent l="0" t="0" r="0" b="0"/>
            <wp:docPr id="1" name="图片 1" descr="上海电力大学LOGO 600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上海电力大学LOGO 600DP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ED38">
      <w:pPr>
        <w:tabs>
          <w:tab w:val="left" w:pos="5460"/>
          <w:tab w:val="left" w:pos="7770"/>
        </w:tabs>
        <w:spacing w:line="600" w:lineRule="auto"/>
        <w:ind w:firstLine="1120" w:firstLineChars="400"/>
        <w:rPr>
          <w:rFonts w:hint="eastAsia" w:eastAsia="KaiTi_GB2312"/>
          <w:sz w:val="28"/>
          <w:lang w:val="en-US" w:eastAsia="zh-CN"/>
        </w:rPr>
      </w:pPr>
    </w:p>
    <w:p w14:paraId="6F1046CF">
      <w:pPr>
        <w:tabs>
          <w:tab w:val="left" w:pos="7980"/>
        </w:tabs>
        <w:spacing w:line="600" w:lineRule="auto"/>
        <w:ind w:firstLine="1120" w:firstLineChars="400"/>
        <w:rPr>
          <w:rFonts w:hint="eastAsia" w:eastAsia="KaiTi_GB2312"/>
          <w:sz w:val="28"/>
          <w:lang w:eastAsia="zh-CN"/>
        </w:rPr>
      </w:pPr>
      <w:r>
        <w:rPr>
          <w:rFonts w:hint="eastAsia" w:eastAsia="KaiTi_GB2312"/>
          <w:sz w:val="28"/>
          <w:lang w:val="en-US" w:eastAsia="zh-CN"/>
        </w:rPr>
        <w:t>学    部</w:t>
      </w:r>
      <w:r>
        <w:rPr>
          <w:rFonts w:hint="eastAsia" w:eastAsia="KaiTi_GB2312"/>
          <w:sz w:val="28"/>
        </w:rPr>
        <w:t>：</w:t>
      </w:r>
      <w:r>
        <w:rPr>
          <w:rFonts w:hint="eastAsia" w:eastAsia="KaiTi_GB2312"/>
          <w:sz w:val="28"/>
          <w:u w:val="single"/>
        </w:rPr>
        <w:t xml:space="preserve">     </w:t>
      </w:r>
      <w:r>
        <w:rPr>
          <w:rFonts w:hint="eastAsia" w:eastAsia="KaiTi_GB2312"/>
          <w:sz w:val="28"/>
          <w:u w:val="single"/>
          <w:lang w:val="en-US" w:eastAsia="zh-CN"/>
        </w:rPr>
        <w:t xml:space="preserve">         人工智能学部</w:t>
      </w:r>
      <w:r>
        <w:rPr>
          <w:rFonts w:hint="eastAsia" w:eastAsia="KaiTi_GB2312"/>
          <w:sz w:val="28"/>
          <w:u w:val="single"/>
        </w:rPr>
        <w:t xml:space="preserve">              </w:t>
      </w:r>
    </w:p>
    <w:p w14:paraId="0B1F4F76">
      <w:pPr>
        <w:tabs>
          <w:tab w:val="left" w:pos="7980"/>
        </w:tabs>
        <w:spacing w:line="600" w:lineRule="auto"/>
        <w:ind w:firstLine="1120" w:firstLineChars="400"/>
        <w:rPr>
          <w:rFonts w:eastAsia="KaiTi_GB2312"/>
          <w:sz w:val="28"/>
        </w:rPr>
      </w:pPr>
      <w:r>
        <w:rPr>
          <w:rFonts w:hint="eastAsia" w:eastAsia="KaiTi_GB2312"/>
          <w:sz w:val="28"/>
        </w:rPr>
        <w:t>专    业：</w:t>
      </w:r>
      <w:r>
        <w:rPr>
          <w:rFonts w:hint="eastAsia" w:eastAsia="KaiTi_GB2312"/>
          <w:sz w:val="28"/>
          <w:u w:val="single"/>
        </w:rPr>
        <w:t xml:space="preserve">             智能科学与技术 </w:t>
      </w:r>
      <w:r>
        <w:rPr>
          <w:rFonts w:eastAsia="KaiTi_GB2312"/>
          <w:sz w:val="28"/>
          <w:u w:val="single"/>
        </w:rPr>
        <w:t xml:space="preserve">  </w:t>
      </w:r>
      <w:r>
        <w:rPr>
          <w:rFonts w:hint="eastAsia" w:eastAsia="KaiTi_GB2312"/>
          <w:sz w:val="28"/>
          <w:u w:val="single"/>
        </w:rPr>
        <w:t xml:space="preserve">          </w:t>
      </w:r>
    </w:p>
    <w:p w14:paraId="4B381BC9">
      <w:pPr>
        <w:spacing w:line="600" w:lineRule="auto"/>
        <w:ind w:firstLine="1120" w:firstLineChars="400"/>
        <w:rPr>
          <w:rFonts w:eastAsia="KaiTi_GB2312"/>
          <w:sz w:val="28"/>
          <w:u w:val="single"/>
        </w:rPr>
      </w:pPr>
      <w:r>
        <w:rPr>
          <w:rFonts w:hint="eastAsia" w:eastAsia="KaiTi_GB2312"/>
          <w:sz w:val="28"/>
          <w:lang w:val="en-US" w:eastAsia="zh-CN"/>
        </w:rPr>
        <w:t>课程名称</w:t>
      </w:r>
      <w:r>
        <w:rPr>
          <w:rFonts w:hint="eastAsia" w:eastAsia="KaiTi_GB2312"/>
          <w:sz w:val="28"/>
        </w:rPr>
        <w:t>：</w:t>
      </w:r>
      <w:r>
        <w:rPr>
          <w:rFonts w:hint="eastAsia" w:eastAsia="KaiTi_GB2312"/>
          <w:sz w:val="28"/>
          <w:u w:val="single"/>
        </w:rPr>
        <w:t xml:space="preserve">        </w:t>
      </w:r>
      <w:r>
        <w:rPr>
          <w:rFonts w:hint="eastAsia" w:eastAsia="KaiTi_GB2312"/>
          <w:sz w:val="28"/>
          <w:u w:val="single"/>
          <w:lang w:val="en-US" w:eastAsia="zh-CN"/>
        </w:rPr>
        <w:t xml:space="preserve"> 计算机视觉（产教融合课程）</w:t>
      </w:r>
      <w:r>
        <w:rPr>
          <w:rFonts w:hint="eastAsia" w:eastAsia="KaiTi_GB2312"/>
          <w:sz w:val="28"/>
          <w:u w:val="single"/>
        </w:rPr>
        <w:t xml:space="preserve">     </w:t>
      </w:r>
    </w:p>
    <w:p w14:paraId="428ED785">
      <w:pPr>
        <w:tabs>
          <w:tab w:val="left" w:pos="5460"/>
          <w:tab w:val="left" w:pos="7980"/>
        </w:tabs>
        <w:spacing w:line="600" w:lineRule="auto"/>
        <w:ind w:firstLine="1120" w:firstLineChars="400"/>
        <w:rPr>
          <w:rFonts w:eastAsia="KaiTi_GB2312"/>
          <w:sz w:val="28"/>
        </w:rPr>
      </w:pPr>
      <w:r>
        <w:rPr>
          <w:rFonts w:hint="eastAsia" w:eastAsia="KaiTi_GB2312"/>
          <w:sz w:val="28"/>
          <w:lang w:val="en-US" w:eastAsia="zh-CN"/>
        </w:rPr>
        <w:t>实验名称</w:t>
      </w:r>
      <w:r>
        <w:rPr>
          <w:rFonts w:hint="eastAsia" w:eastAsia="KaiTi_GB2312"/>
          <w:sz w:val="28"/>
        </w:rPr>
        <w:t>：</w:t>
      </w:r>
      <w:r>
        <w:rPr>
          <w:rFonts w:hint="eastAsia" w:eastAsia="KaiTi_GB2312"/>
          <w:sz w:val="28"/>
          <w:u w:val="single"/>
        </w:rPr>
        <w:t xml:space="preserve">         </w:t>
      </w:r>
      <w:r>
        <w:rPr>
          <w:rFonts w:hint="eastAsia" w:eastAsia="KaiTi_GB2312"/>
          <w:sz w:val="28"/>
          <w:u w:val="single"/>
          <w:lang w:val="en-US" w:eastAsia="zh-CN"/>
        </w:rPr>
        <w:t>电力指针式仪表读数检测</w:t>
      </w:r>
      <w:r>
        <w:rPr>
          <w:rFonts w:hint="eastAsia" w:eastAsia="KaiTi_GB2312"/>
          <w:sz w:val="28"/>
          <w:u w:val="single"/>
        </w:rPr>
        <w:t xml:space="preserve">   </w:t>
      </w:r>
      <w:r>
        <w:rPr>
          <w:rFonts w:eastAsia="KaiTi_GB2312"/>
          <w:sz w:val="28"/>
          <w:u w:val="single"/>
        </w:rPr>
        <w:t xml:space="preserve">  </w:t>
      </w:r>
      <w:r>
        <w:rPr>
          <w:rFonts w:hint="eastAsia" w:eastAsia="KaiTi_GB2312"/>
          <w:sz w:val="28"/>
          <w:u w:val="single"/>
        </w:rPr>
        <w:t xml:space="preserve">    </w:t>
      </w:r>
    </w:p>
    <w:p w14:paraId="7CEED990">
      <w:pPr>
        <w:tabs>
          <w:tab w:val="left" w:pos="7980"/>
        </w:tabs>
        <w:spacing w:line="600" w:lineRule="auto"/>
        <w:ind w:firstLine="1120" w:firstLineChars="400"/>
        <w:rPr>
          <w:rFonts w:hint="default" w:eastAsia="KaiTi_GB2312"/>
          <w:sz w:val="28"/>
          <w:u w:val="single"/>
          <w:lang w:val="en-US" w:eastAsia="zh-CN"/>
        </w:rPr>
      </w:pPr>
      <w:r>
        <w:rPr>
          <w:rFonts w:hint="eastAsia" w:eastAsia="KaiTi_GB2312"/>
          <w:sz w:val="28"/>
        </w:rPr>
        <w:t>学</w:t>
      </w:r>
      <w:r>
        <w:rPr>
          <w:rFonts w:hint="eastAsia" w:eastAsia="KaiTi_GB2312"/>
          <w:sz w:val="28"/>
          <w:lang w:val="en-US" w:eastAsia="zh-CN"/>
        </w:rPr>
        <w:t>生姓名</w:t>
      </w:r>
      <w:r>
        <w:rPr>
          <w:rFonts w:hint="eastAsia" w:eastAsia="KaiTi_GB2312"/>
          <w:sz w:val="28"/>
        </w:rPr>
        <w:t>：</w:t>
      </w:r>
      <w:r>
        <w:rPr>
          <w:rFonts w:hint="eastAsia" w:eastAsia="KaiTi_GB2312"/>
          <w:sz w:val="28"/>
          <w:u w:val="single"/>
        </w:rPr>
        <w:t xml:space="preserve">   </w:t>
      </w:r>
      <w:r>
        <w:rPr>
          <w:rFonts w:eastAsia="KaiTi_GB2312"/>
          <w:sz w:val="28"/>
          <w:u w:val="single"/>
        </w:rPr>
        <w:t xml:space="preserve"> </w:t>
      </w:r>
      <w:r>
        <w:rPr>
          <w:rFonts w:hint="eastAsia" w:eastAsia="KaiTi_GB2312"/>
          <w:sz w:val="28"/>
          <w:u w:val="single"/>
        </w:rPr>
        <w:t xml:space="preserve"> 金昊阳</w:t>
      </w:r>
      <w:r>
        <w:rPr>
          <w:rFonts w:hint="eastAsia" w:eastAsia="KaiTi_GB2312"/>
          <w:sz w:val="28"/>
          <w:u w:val="single"/>
          <w:lang w:val="en-US" w:eastAsia="zh-CN"/>
        </w:rPr>
        <w:t xml:space="preserve">     </w:t>
      </w:r>
      <w:r>
        <w:rPr>
          <w:rFonts w:hint="eastAsia" w:eastAsia="KaiTi_GB2312"/>
          <w:sz w:val="28"/>
          <w:u w:val="none"/>
          <w:lang w:val="en-US" w:eastAsia="zh-CN"/>
        </w:rPr>
        <w:t xml:space="preserve"> 学号</w:t>
      </w:r>
      <w:r>
        <w:rPr>
          <w:rFonts w:hint="eastAsia" w:eastAsia="KaiTi_GB2312"/>
          <w:sz w:val="28"/>
        </w:rPr>
        <w:t>：</w:t>
      </w:r>
      <w:r>
        <w:rPr>
          <w:rFonts w:hint="eastAsia" w:eastAsia="KaiTi_GB2312"/>
          <w:sz w:val="28"/>
          <w:u w:val="single"/>
          <w:lang w:val="en-US" w:eastAsia="zh-CN"/>
        </w:rPr>
        <w:t xml:space="preserve">    20241559     </w:t>
      </w:r>
    </w:p>
    <w:p w14:paraId="721D57C1">
      <w:pPr>
        <w:tabs>
          <w:tab w:val="left" w:pos="7980"/>
        </w:tabs>
        <w:spacing w:line="600" w:lineRule="auto"/>
        <w:ind w:firstLine="1120" w:firstLineChars="400"/>
        <w:rPr>
          <w:rFonts w:hint="eastAsia" w:eastAsia="KaiTi_GB2312"/>
          <w:sz w:val="28"/>
          <w:u w:val="single"/>
        </w:rPr>
      </w:pPr>
      <w:r>
        <w:rPr>
          <w:rFonts w:hint="eastAsia" w:eastAsia="KaiTi_GB2312"/>
          <w:sz w:val="28"/>
          <w:lang w:val="en-US" w:eastAsia="zh-CN"/>
        </w:rPr>
        <w:t>指导老师</w:t>
      </w:r>
      <w:r>
        <w:rPr>
          <w:rFonts w:hint="eastAsia" w:eastAsia="KaiTi_GB2312"/>
          <w:sz w:val="28"/>
        </w:rPr>
        <w:t>：</w:t>
      </w:r>
      <w:r>
        <w:rPr>
          <w:rFonts w:hint="eastAsia" w:eastAsia="KaiTi_GB2312"/>
          <w:sz w:val="28"/>
          <w:u w:val="single"/>
        </w:rPr>
        <w:t xml:space="preserve">   </w:t>
      </w:r>
      <w:r>
        <w:rPr>
          <w:rFonts w:eastAsia="KaiTi_GB2312"/>
          <w:sz w:val="28"/>
          <w:u w:val="single"/>
        </w:rPr>
        <w:t xml:space="preserve"> </w:t>
      </w:r>
      <w:r>
        <w:rPr>
          <w:rFonts w:hint="eastAsia" w:eastAsia="KaiTi_GB2312"/>
          <w:sz w:val="28"/>
          <w:u w:val="single"/>
        </w:rPr>
        <w:t xml:space="preserve">  </w:t>
      </w:r>
      <w:r>
        <w:rPr>
          <w:rFonts w:eastAsia="KaiTi_GB2312"/>
          <w:sz w:val="28"/>
          <w:u w:val="single"/>
        </w:rPr>
        <w:t xml:space="preserve"> </w:t>
      </w:r>
      <w:r>
        <w:rPr>
          <w:rFonts w:hint="eastAsia" w:eastAsia="KaiTi_GB2312"/>
          <w:sz w:val="28"/>
          <w:u w:val="single"/>
        </w:rPr>
        <w:t xml:space="preserve">  </w:t>
      </w:r>
      <w:r>
        <w:rPr>
          <w:rFonts w:hint="eastAsia" w:eastAsia="KaiTi_GB2312"/>
          <w:sz w:val="28"/>
          <w:u w:val="single"/>
          <w:lang w:val="en-US" w:eastAsia="zh-CN"/>
        </w:rPr>
        <w:t xml:space="preserve">         夏飞</w:t>
      </w:r>
      <w:r>
        <w:rPr>
          <w:rFonts w:hint="eastAsia" w:eastAsia="KaiTi_GB2312"/>
          <w:sz w:val="28"/>
          <w:u w:val="single"/>
        </w:rPr>
        <w:tab/>
      </w:r>
      <w:r>
        <w:rPr>
          <w:rFonts w:hint="eastAsia" w:eastAsia="KaiTi_GB2312"/>
          <w:sz w:val="28"/>
          <w:u w:val="single"/>
        </w:rPr>
        <w:t xml:space="preserve"> </w:t>
      </w:r>
      <w:bookmarkStart w:id="41" w:name="_GoBack"/>
      <w:bookmarkEnd w:id="41"/>
    </w:p>
    <w:p w14:paraId="58D722BF">
      <w:pPr>
        <w:tabs>
          <w:tab w:val="left" w:pos="7980"/>
        </w:tabs>
        <w:spacing w:line="600" w:lineRule="auto"/>
        <w:ind w:firstLine="3080" w:firstLineChars="1100"/>
        <w:jc w:val="both"/>
        <w:rPr>
          <w:rFonts w:hint="default" w:eastAsia="KaiTi_GB2312"/>
          <w:sz w:val="28"/>
          <w:u w:val="none"/>
          <w:lang w:val="en-US" w:eastAsia="zh-CN"/>
        </w:rPr>
      </w:pPr>
      <w:r>
        <w:rPr>
          <w:rFonts w:hint="eastAsia" w:eastAsia="KaiTi_GB2312"/>
          <w:sz w:val="28"/>
          <w:u w:val="none"/>
          <w:lang w:val="en-US" w:eastAsia="zh-CN"/>
        </w:rPr>
        <w:t>20</w:t>
      </w:r>
      <w:r>
        <w:rPr>
          <w:rFonts w:hint="eastAsia" w:eastAsia="KaiTi_GB2312"/>
          <w:sz w:val="28"/>
          <w:u w:val="single"/>
          <w:lang w:val="en-US" w:eastAsia="zh-CN"/>
        </w:rPr>
        <w:t xml:space="preserve"> 26  </w:t>
      </w:r>
      <w:r>
        <w:rPr>
          <w:rFonts w:hint="eastAsia" w:eastAsia="KaiTi_GB2312"/>
          <w:sz w:val="28"/>
          <w:u w:val="none"/>
          <w:lang w:val="en-US" w:eastAsia="zh-CN"/>
        </w:rPr>
        <w:t xml:space="preserve">年 </w:t>
      </w:r>
      <w:r>
        <w:rPr>
          <w:rFonts w:hint="eastAsia" w:eastAsia="KaiTi_GB2312"/>
          <w:sz w:val="28"/>
          <w:u w:val="single"/>
          <w:lang w:val="en-US" w:eastAsia="zh-CN"/>
        </w:rPr>
        <w:t xml:space="preserve"> 10  </w:t>
      </w:r>
      <w:r>
        <w:rPr>
          <w:rFonts w:hint="eastAsia" w:eastAsia="KaiTi_GB2312"/>
          <w:sz w:val="28"/>
          <w:u w:val="none"/>
          <w:lang w:val="en-US" w:eastAsia="zh-CN"/>
        </w:rPr>
        <w:t xml:space="preserve">月 </w:t>
      </w:r>
      <w:r>
        <w:rPr>
          <w:rFonts w:hint="eastAsia" w:eastAsia="KaiTi_GB2312"/>
          <w:sz w:val="28"/>
          <w:u w:val="single"/>
          <w:lang w:val="en-US" w:eastAsia="zh-CN"/>
        </w:rPr>
        <w:t xml:space="preserve"> 15  日</w:t>
      </w:r>
    </w:p>
    <w:tbl>
      <w:tblPr>
        <w:tblStyle w:val="11"/>
        <w:tblW w:w="85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1"/>
        <w:gridCol w:w="1628"/>
      </w:tblGrid>
      <w:tr w14:paraId="283E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5" w:hRule="atLeast"/>
          <w:jc w:val="center"/>
        </w:trPr>
        <w:tc>
          <w:tcPr>
            <w:tcW w:w="6921" w:type="dxa"/>
          </w:tcPr>
          <w:p w14:paraId="5C24913E">
            <w:pPr>
              <w:pStyle w:val="14"/>
              <w:ind w:right="-357"/>
              <w:rPr>
                <w:rFonts w:ascii="FangSong_GB2312" w:eastAsia="FangSong_GB2312"/>
              </w:rPr>
            </w:pPr>
            <w:r>
              <w:rPr>
                <w:rFonts w:ascii="FangSong_GB2312" w:eastAsia="FangSong_GB2312"/>
              </w:rPr>
              <w:t>评语：</w:t>
            </w:r>
          </w:p>
        </w:tc>
        <w:tc>
          <w:tcPr>
            <w:tcW w:w="1628" w:type="dxa"/>
          </w:tcPr>
          <w:p w14:paraId="15AEA2E4">
            <w:pPr>
              <w:pStyle w:val="14"/>
              <w:ind w:right="-357"/>
              <w:rPr>
                <w:rFonts w:hint="eastAsia" w:ascii="FangSong_GB2312" w:eastAsia="FangSong_GB2312"/>
              </w:rPr>
            </w:pPr>
            <w:r>
              <w:rPr>
                <w:rFonts w:hint="eastAsia" w:ascii="FangSong_GB2312" w:eastAsia="FangSong_GB2312"/>
                <w:lang w:val="en-US" w:eastAsia="zh-CN"/>
              </w:rPr>
              <w:t>成绩</w:t>
            </w:r>
            <w:r>
              <w:rPr>
                <w:rFonts w:ascii="FangSong_GB2312" w:eastAsia="FangSong_GB2312"/>
              </w:rPr>
              <w:t>：</w:t>
            </w:r>
          </w:p>
        </w:tc>
      </w:tr>
    </w:tbl>
    <w:p w14:paraId="4443374F">
      <w:pPr>
        <w:spacing w:line="20" w:lineRule="exact"/>
        <w:rPr>
          <w:rFonts w:eastAsia="KaiTi_GB2312"/>
          <w:sz w:val="10"/>
          <w:szCs w:val="10"/>
        </w:rPr>
      </w:pPr>
    </w:p>
    <w:p w14:paraId="61ADA253">
      <w:pPr>
        <w:keepNext/>
        <w:pageBreakBefore/>
        <w:spacing w:after="240" w:line="360" w:lineRule="auto"/>
        <w:jc w:val="center"/>
        <w:rPr>
          <w:rFonts w:eastAsia="黑体"/>
          <w:b/>
          <w:color w:val="000000"/>
          <w:sz w:val="32"/>
          <w:szCs w:val="32"/>
        </w:rPr>
        <w:sectPr>
          <w:pgSz w:w="11906" w:h="16838"/>
          <w:pgMar w:top="1440" w:right="1440" w:bottom="1440" w:left="1440" w:header="850" w:footer="992" w:gutter="0"/>
          <w:pgNumType w:start="0"/>
          <w:cols w:space="0" w:num="1"/>
          <w:docGrid w:type="lines" w:linePitch="317" w:charSpace="0"/>
        </w:sectPr>
      </w:pPr>
    </w:p>
    <w:p w14:paraId="5D3925B7">
      <w:pPr>
        <w:keepNext/>
        <w:pageBreakBefore/>
        <w:spacing w:after="240" w:line="360" w:lineRule="auto"/>
        <w:jc w:val="center"/>
      </w:pPr>
      <w:r>
        <w:rPr>
          <w:rFonts w:eastAsia="黑体"/>
          <w:b/>
          <w:color w:val="000000"/>
          <w:sz w:val="32"/>
          <w:szCs w:val="32"/>
        </w:rPr>
        <w:t>目 录</w:t>
      </w:r>
    </w:p>
    <w:sdt>
      <w:sdtPr>
        <w:rPr>
          <w:b w:val="0"/>
        </w:rPr>
        <w:id w:val="147479947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B125A0E">
          <w:pPr>
            <w:pStyle w:val="9"/>
            <w:rPr>
              <w:rFonts w:asciiTheme="minorHAnsi" w:hAnsiTheme="minorHAnsi" w:eastAsiaTheme="minorEastAsia"/>
              <w:b w:val="0"/>
              <w:color w:val="auto"/>
              <w:kern w:val="2"/>
              <w:sz w:val="22"/>
              <w:szCs w:val="24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"1-2" \h \z </w:instrText>
          </w:r>
          <w:r>
            <w:rPr>
              <w:b w:val="0"/>
            </w:rPr>
            <w:fldChar w:fldCharType="separate"/>
          </w:r>
          <w:r>
            <w:fldChar w:fldCharType="begin"/>
          </w:r>
          <w:r>
            <w:instrText xml:space="preserve"> HYPERLINK \l "_Toc242912122" </w:instrText>
          </w:r>
          <w:r>
            <w:fldChar w:fldCharType="separate"/>
          </w:r>
          <w:r>
            <w:rPr>
              <w:rStyle w:val="13"/>
            </w:rPr>
            <w:t>一、实验目的</w:t>
          </w:r>
          <w:r>
            <w:tab/>
          </w:r>
          <w:r>
            <w:fldChar w:fldCharType="begin"/>
          </w:r>
          <w:r>
            <w:instrText xml:space="preserve"> PAGEREF _Toc242912122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15A6CD">
          <w:pPr>
            <w:pStyle w:val="9"/>
            <w:rPr>
              <w:rFonts w:asciiTheme="minorHAnsi" w:hAnsiTheme="minorHAnsi" w:eastAsiaTheme="minorEastAsia"/>
              <w:b w:val="0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"_Toc242912123" </w:instrText>
          </w:r>
          <w:r>
            <w:fldChar w:fldCharType="separate"/>
          </w:r>
          <w:r>
            <w:rPr>
              <w:rStyle w:val="13"/>
            </w:rPr>
            <w:t>二、实验原理</w:t>
          </w:r>
          <w:r>
            <w:tab/>
          </w:r>
          <w:r>
            <w:fldChar w:fldCharType="begin"/>
          </w:r>
          <w:r>
            <w:instrText xml:space="preserve"> PAGEREF _Toc242912123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BACC689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"_Toc242912124" </w:instrText>
          </w:r>
          <w:r>
            <w:fldChar w:fldCharType="separate"/>
          </w:r>
          <w:r>
            <w:rPr>
              <w:rStyle w:val="13"/>
            </w:rPr>
            <w:t>1. 仪表识别基本原理</w:t>
          </w:r>
          <w:r>
            <w:tab/>
          </w:r>
          <w:r>
            <w:fldChar w:fldCharType="begin"/>
          </w:r>
          <w:r>
            <w:instrText xml:space="preserve"> PAGEREF _Toc242912124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E495B39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"_Toc242912125" </w:instrText>
          </w:r>
          <w:r>
            <w:fldChar w:fldCharType="separate"/>
          </w:r>
          <w:r>
            <w:rPr>
              <w:rStyle w:val="13"/>
            </w:rPr>
            <w:t>2. 指针方向与读数计算</w:t>
          </w:r>
          <w:r>
            <w:tab/>
          </w:r>
          <w:r>
            <w:fldChar w:fldCharType="begin"/>
          </w:r>
          <w:r>
            <w:instrText xml:space="preserve"> PAGEREF _Toc242912125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F3D714D">
          <w:pPr>
            <w:pStyle w:val="9"/>
            <w:rPr>
              <w:rFonts w:asciiTheme="minorHAnsi" w:hAnsiTheme="minorHAnsi" w:eastAsiaTheme="minorEastAsia"/>
              <w:b w:val="0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"_Toc242912126" </w:instrText>
          </w:r>
          <w:r>
            <w:fldChar w:fldCharType="separate"/>
          </w:r>
          <w:r>
            <w:rPr>
              <w:rStyle w:val="13"/>
            </w:rPr>
            <w:t>三、实验步骤</w:t>
          </w:r>
          <w:r>
            <w:tab/>
          </w:r>
          <w:r>
            <w:fldChar w:fldCharType="begin"/>
          </w:r>
          <w:r>
            <w:instrText xml:space="preserve"> PAGEREF _Toc242912126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330576A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"_Toc242912127" </w:instrText>
          </w:r>
          <w:r>
            <w:fldChar w:fldCharType="separate"/>
          </w:r>
          <w:r>
            <w:rPr>
              <w:rStyle w:val="13"/>
            </w:rPr>
            <w:t>1. 程序流程与关键算法</w:t>
          </w:r>
          <w:r>
            <w:tab/>
          </w:r>
          <w:r>
            <w:fldChar w:fldCharType="begin"/>
          </w:r>
          <w:r>
            <w:instrText xml:space="preserve"> PAGEREF _Toc242912127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0963913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"_Toc242912128" </w:instrText>
          </w:r>
          <w:r>
            <w:fldChar w:fldCharType="separate"/>
          </w:r>
          <w:r>
            <w:rPr>
              <w:rStyle w:val="13"/>
            </w:rPr>
            <w:t>2. 关键参数设置</w:t>
          </w:r>
          <w:r>
            <w:tab/>
          </w:r>
          <w:r>
            <w:fldChar w:fldCharType="begin"/>
          </w:r>
          <w:r>
            <w:instrText xml:space="preserve"> PAGEREF _Toc242912128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187740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"_Toc242912129" </w:instrText>
          </w:r>
          <w:r>
            <w:fldChar w:fldCharType="separate"/>
          </w:r>
          <w:r>
            <w:rPr>
              <w:rStyle w:val="13"/>
            </w:rPr>
            <w:t>3. 四点标定</w:t>
          </w:r>
          <w:r>
            <w:tab/>
          </w:r>
          <w:r>
            <w:fldChar w:fldCharType="begin"/>
          </w:r>
          <w:r>
            <w:instrText xml:space="preserve"> PAGEREF _Toc242912129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A3BAEC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"_Toc242912130" </w:instrText>
          </w:r>
          <w:r>
            <w:fldChar w:fldCharType="separate"/>
          </w:r>
          <w:r>
            <w:rPr>
              <w:rStyle w:val="13"/>
            </w:rPr>
            <w:t>4. 图形界面与操作流程</w:t>
          </w:r>
          <w:r>
            <w:tab/>
          </w:r>
          <w:r>
            <w:fldChar w:fldCharType="begin"/>
          </w:r>
          <w:r>
            <w:instrText xml:space="preserve"> PAGEREF _Toc242912130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46E66D">
          <w:pPr>
            <w:pStyle w:val="9"/>
            <w:rPr>
              <w:rFonts w:asciiTheme="minorHAnsi" w:hAnsiTheme="minorHAnsi" w:eastAsiaTheme="minorEastAsia"/>
              <w:b w:val="0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"_Toc242912131" </w:instrText>
          </w:r>
          <w:r>
            <w:fldChar w:fldCharType="separate"/>
          </w:r>
          <w:r>
            <w:rPr>
              <w:rStyle w:val="13"/>
            </w:rPr>
            <w:t>四、实验结果与分析</w:t>
          </w:r>
          <w:r>
            <w:tab/>
          </w:r>
          <w:r>
            <w:fldChar w:fldCharType="begin"/>
          </w:r>
          <w:r>
            <w:instrText xml:space="preserve"> PAGEREF _Toc242912131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2028C48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"_Toc242912132" </w:instrText>
          </w:r>
          <w:r>
            <w:fldChar w:fldCharType="separate"/>
          </w:r>
          <w:r>
            <w:rPr>
              <w:rStyle w:val="13"/>
            </w:rPr>
            <w:t>1. 检测结果</w:t>
          </w:r>
          <w:r>
            <w:tab/>
          </w:r>
          <w:r>
            <w:fldChar w:fldCharType="begin"/>
          </w:r>
          <w:r>
            <w:instrText xml:space="preserve"> PAGEREF _Toc242912132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6CC9833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"_Toc242912133" </w:instrText>
          </w:r>
          <w:r>
            <w:fldChar w:fldCharType="separate"/>
          </w:r>
          <w:r>
            <w:rPr>
              <w:rStyle w:val="13"/>
            </w:rPr>
            <w:t>2. 性能分析</w:t>
          </w:r>
          <w:r>
            <w:tab/>
          </w:r>
          <w:r>
            <w:fldChar w:fldCharType="begin"/>
          </w:r>
          <w:r>
            <w:instrText xml:space="preserve"> PAGEREF _Toc242912133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1F7B88A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"_Toc242912134" </w:instrText>
          </w:r>
          <w:r>
            <w:fldChar w:fldCharType="separate"/>
          </w:r>
          <w:r>
            <w:rPr>
              <w:rStyle w:val="13"/>
            </w:rPr>
            <w:t>3. 误差分析与真实实验记录</w:t>
          </w:r>
          <w:r>
            <w:tab/>
          </w:r>
          <w:r>
            <w:fldChar w:fldCharType="begin"/>
          </w:r>
          <w:r>
            <w:instrText xml:space="preserve"> PAGEREF _Toc242912134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76F6213">
          <w:pPr>
            <w:pStyle w:val="9"/>
            <w:rPr>
              <w:rFonts w:asciiTheme="minorHAnsi" w:hAnsiTheme="minorHAnsi" w:eastAsiaTheme="minorEastAsia"/>
              <w:b w:val="0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"_Toc242912135" </w:instrText>
          </w:r>
          <w:r>
            <w:fldChar w:fldCharType="separate"/>
          </w:r>
          <w:r>
            <w:rPr>
              <w:rStyle w:val="13"/>
            </w:rPr>
            <w:t>五、实验总结</w:t>
          </w:r>
          <w:r>
            <w:tab/>
          </w:r>
          <w:r>
            <w:fldChar w:fldCharType="begin"/>
          </w:r>
          <w:r>
            <w:instrText xml:space="preserve"> PAGEREF _Toc242912135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7122182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"_Toc242912136" </w:instrText>
          </w:r>
          <w:r>
            <w:fldChar w:fldCharType="separate"/>
          </w:r>
          <w:r>
            <w:rPr>
              <w:rStyle w:val="13"/>
            </w:rPr>
            <w:t>1. 实验收获</w:t>
          </w:r>
          <w:r>
            <w:tab/>
          </w:r>
          <w:r>
            <w:fldChar w:fldCharType="begin"/>
          </w:r>
          <w:r>
            <w:instrText xml:space="preserve"> PAGEREF _Toc242912136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D9C5150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"_Toc242912137" </w:instrText>
          </w:r>
          <w:r>
            <w:fldChar w:fldCharType="separate"/>
          </w:r>
          <w:r>
            <w:rPr>
              <w:rStyle w:val="13"/>
            </w:rPr>
            <w:t>2. 技术亮点与改进方向</w:t>
          </w:r>
          <w:r>
            <w:tab/>
          </w:r>
          <w:r>
            <w:fldChar w:fldCharType="begin"/>
          </w:r>
          <w:r>
            <w:instrText xml:space="preserve"> PAGEREF _Toc242912137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0E86925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"_Toc242912138" </w:instrText>
          </w:r>
          <w:r>
            <w:fldChar w:fldCharType="separate"/>
          </w:r>
          <w:r>
            <w:rPr>
              <w:rStyle w:val="13"/>
            </w:rPr>
            <w:t>3. 应用前景</w:t>
          </w:r>
          <w:r>
            <w:tab/>
          </w:r>
          <w:r>
            <w:fldChar w:fldCharType="begin"/>
          </w:r>
          <w:r>
            <w:instrText xml:space="preserve"> PAGEREF _Toc242912138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F166651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"_Toc242912139" </w:instrText>
          </w:r>
          <w:r>
            <w:fldChar w:fldCharType="separate"/>
          </w:r>
          <w:r>
            <w:rPr>
              <w:rStyle w:val="13"/>
            </w:rPr>
            <w:t>4. 问题与讨论</w:t>
          </w:r>
          <w:r>
            <w:tab/>
          </w:r>
          <w:r>
            <w:fldChar w:fldCharType="begin"/>
          </w:r>
          <w:r>
            <w:instrText xml:space="preserve"> PAGEREF _Toc242912139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95FFBE7">
          <w:pPr>
            <w:pStyle w:val="9"/>
            <w:rPr>
              <w:rFonts w:asciiTheme="minorHAnsi" w:hAnsiTheme="minorHAnsi" w:eastAsiaTheme="minorEastAsia"/>
              <w:b w:val="0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"_Toc242912140" </w:instrText>
          </w:r>
          <w:r>
            <w:fldChar w:fldCharType="separate"/>
          </w:r>
          <w:r>
            <w:rPr>
              <w:rStyle w:val="13"/>
            </w:rPr>
            <w:t>六、附录</w:t>
          </w:r>
          <w:r>
            <w:tab/>
          </w:r>
          <w:r>
            <w:fldChar w:fldCharType="begin"/>
          </w:r>
          <w:r>
            <w:instrText xml:space="preserve"> PAGEREF _Toc242912140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24FBBE4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"_Toc242912141" </w:instrText>
          </w:r>
          <w:r>
            <w:fldChar w:fldCharType="separate"/>
          </w:r>
          <w:r>
            <w:rPr>
              <w:rStyle w:val="13"/>
            </w:rPr>
            <w:t>1. 完整代码与运行方法</w:t>
          </w:r>
          <w:r>
            <w:tab/>
          </w:r>
          <w:r>
            <w:fldChar w:fldCharType="begin"/>
          </w:r>
          <w:r>
            <w:instrText xml:space="preserve"> PAGEREF _Toc242912141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7E7CDAD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"_Toc242912142" </w:instrText>
          </w:r>
          <w:r>
            <w:fldChar w:fldCharType="separate"/>
          </w:r>
          <w:r>
            <w:rPr>
              <w:rStyle w:val="13"/>
            </w:rPr>
            <w:t>2. 关键函数说明</w:t>
          </w:r>
          <w:r>
            <w:tab/>
          </w:r>
          <w:r>
            <w:fldChar w:fldCharType="begin"/>
          </w:r>
          <w:r>
            <w:instrText xml:space="preserve"> PAGEREF _Toc242912142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2CA5A5C">
          <w:pPr>
            <w:pStyle w:val="10"/>
            <w:rPr>
              <w:rFonts w:asciiTheme="minorHAnsi" w:hAnsiTheme="minorHAnsi" w:eastAsiaTheme="minorEastAsia"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"_Toc242912143" </w:instrText>
          </w:r>
          <w:r>
            <w:fldChar w:fldCharType="separate"/>
          </w:r>
          <w:r>
            <w:rPr>
              <w:rStyle w:val="13"/>
            </w:rPr>
            <w:t>3. 参考资料</w:t>
          </w:r>
          <w:r>
            <w:tab/>
          </w:r>
          <w:r>
            <w:fldChar w:fldCharType="begin"/>
          </w:r>
          <w:r>
            <w:instrText xml:space="preserve"> PAGEREF _Toc242912143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6B064CE">
          <w:pPr>
            <w:pStyle w:val="10"/>
          </w:pPr>
          <w:r>
            <w:fldChar w:fldCharType="end"/>
          </w:r>
        </w:p>
      </w:sdtContent>
    </w:sdt>
    <w:p w14:paraId="68182A45">
      <w:pPr>
        <w:sectPr>
          <w:footerReference r:id="rId3" w:type="default"/>
          <w:pgSz w:w="11906" w:h="16838"/>
          <w:pgMar w:top="1440" w:right="1440" w:bottom="1440" w:left="1440" w:header="850" w:footer="992" w:gutter="0"/>
          <w:pgNumType w:start="0"/>
          <w:cols w:space="0" w:num="1"/>
          <w:docGrid w:type="lines" w:linePitch="317" w:charSpace="0"/>
        </w:sectPr>
      </w:pPr>
    </w:p>
    <w:p w14:paraId="021A8797">
      <w:pPr>
        <w:pStyle w:val="2"/>
      </w:pPr>
      <w:bookmarkStart w:id="0" w:name="_Toc242912122"/>
      <w:r>
        <w:t>一、实验目的</w:t>
      </w:r>
      <w:bookmarkEnd w:id="0"/>
    </w:p>
    <w:p w14:paraId="4ED05C42">
      <w:r>
        <w:t xml:space="preserve">1. </w:t>
      </w:r>
      <w:r>
        <w:rPr>
          <w:rFonts w:hint="eastAsia"/>
        </w:rPr>
        <w:t>熟悉数字图像处理的基本流程：图像读取、灰度化、滤波、二值化、形态学处理等。</w:t>
      </w:r>
    </w:p>
    <w:p w14:paraId="2A7036DB">
      <w:r>
        <w:t xml:space="preserve">2. </w:t>
      </w:r>
      <w:r>
        <w:rPr>
          <w:rFonts w:hint="eastAsia"/>
        </w:rPr>
        <w:t>掌握霍夫变换（Hough Transform）直线检测的原理与实现方法。</w:t>
      </w:r>
    </w:p>
    <w:p w14:paraId="2DF54919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实现对单张或多张图中的多个指针式仪表的自动读数检测。</w:t>
      </w:r>
    </w:p>
    <w:p w14:paraId="3602203F">
      <w:r>
        <w:rPr>
          <w:rFonts w:hint="eastAsia"/>
        </w:rPr>
        <w:t>4</w:t>
      </w:r>
      <w:r>
        <w:t>. 记</w:t>
      </w:r>
      <w:r>
        <w:rPr>
          <w:rFonts w:hint="eastAsia"/>
        </w:rPr>
        <w:t>学习将检测到的指针直线与表盘量程进行映射，完成读数计算</w:t>
      </w:r>
    </w:p>
    <w:p w14:paraId="0A9BD467">
      <w:pPr>
        <w:ind w:firstLine="420"/>
      </w:pPr>
      <w:r>
        <w:t>本实验实现近似正视、单指针、线性刻度仪表的处理流程，已完成10张合成图验证及10张真实仪表外观图片的逐图标定和对照记录。课程要求还包括同图多个仪表；当前程序尚未实现多表自动定位，只能在人工分离各表后逐表标定处理，因此不将同图多表自动识别列为已完成功能。</w:t>
      </w:r>
    </w:p>
    <w:p w14:paraId="173019C9">
      <w:pPr>
        <w:pStyle w:val="4"/>
      </w:pPr>
      <w:r>
        <w:t>实验环境与完成范围</w:t>
      </w:r>
      <w:r>
        <w:rPr>
          <w:rFonts w:hint="eastAsia"/>
        </w:rPr>
        <w:t xml:space="preserve">   </w:t>
      </w:r>
    </w:p>
    <w:p w14:paraId="2B59E77F">
      <w:r>
        <w:t>实验使用Windows 11 PC，Python 3.12.10及OpenCV、NumPy、Pillow、Matplotlib、Tkinte。课程要求的单图多仪表输入尚缺少专门样本与自动定位验证；已完成多张图片、逐图单表的批处理，二者</w:t>
      </w:r>
      <w:r>
        <w:rPr>
          <w:rFonts w:hint="eastAsia"/>
        </w:rPr>
        <w:t>实现方式不</w:t>
      </w:r>
      <w:r>
        <w:t>等同。软硬件版本和运行入口见附录。</w:t>
      </w:r>
    </w:p>
    <w:p w14:paraId="3312C4CF">
      <w:pPr>
        <w:pStyle w:val="2"/>
      </w:pPr>
      <w:bookmarkStart w:id="1" w:name="_Toc242912123"/>
      <w:r>
        <w:t>二、实验原理</w:t>
      </w:r>
      <w:bookmarkEnd w:id="1"/>
    </w:p>
    <w:p w14:paraId="72151296">
      <w:pPr>
        <w:pStyle w:val="3"/>
      </w:pPr>
      <w:bookmarkStart w:id="2" w:name="_Toc242912124"/>
      <w:r>
        <w:t>1. 仪表识别基本原理</w:t>
      </w:r>
      <w:bookmarkEnd w:id="2"/>
    </w:p>
    <w:p w14:paraId="2D76F915">
      <w:r>
        <w:t>仪表读数由指针方向与量程刻度的对应关系确定。输入图像先经灰度化、高斯滤波、二值化和形态学处理，再在已标定的环形区域内检测直线并筛选针尖方向，最后将有向转角映射到实际量程。[1][2][3]</w:t>
      </w:r>
    </w:p>
    <w:p w14:paraId="483E6662">
      <w:pPr>
        <w:pStyle w:val="4"/>
      </w:pPr>
      <w:bookmarkStart w:id="3" w:name="sec_4"/>
      <w:r>
        <w:t>1.1 图像预处理</w:t>
      </w:r>
      <w:bookmarkEnd w:id="3"/>
    </w:p>
    <w:p w14:paraId="1CEA8995">
      <w:r>
        <w:t>输入图片先依据EXIF信息统一朝向，再转为灰度图。高斯滤波减弱随机噪声；二值化依据polarity选择深色或浅色指针，并统一将目标设为白色前景。默认采用Otsu自动阈值，也可选择固定或自适应阈值。闭运算连接小断裂；开运算核默认取1，相当于不做开运算，以免删除细指针。[2][3]</w:t>
      </w:r>
    </w:p>
    <w:p w14:paraId="6CACD3A5">
      <w:pPr>
        <w:spacing w:before="80" w:after="160" w:line="480" w:lineRule="atLeast"/>
        <w:jc w:val="center"/>
      </w:pPr>
      <m:oMathPara>
        <m:oMath>
          <m:r>
            <m:rPr/>
            <w:rPr>
              <w:rFonts w:ascii="Cambria Math" w:hAnsi="Cambria Math"/>
            </w:rPr>
            <m:t xml:space="preserve">G = 0.299 R + 0.587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+ 0.114 B</m:t>
          </m:r>
        </m:oMath>
      </m:oMathPara>
    </w:p>
    <w:p w14:paraId="3D405BD3">
      <w:r>
        <w:t>其中左侧 G 表示灰度强度，右侧 R</w:t>
      </w:r>
      <w:r>
        <w:rPr>
          <w:rFonts w:hint="eastAsia"/>
        </w:rPr>
        <w:t>（红）</w:t>
      </w:r>
      <w:r>
        <w:t>、G</w:t>
      </w:r>
      <w:r>
        <w:rPr>
          <w:rFonts w:hint="eastAsia"/>
        </w:rPr>
        <w:t>c（绿）</w:t>
      </w:r>
      <w:r>
        <w:t>、B</w:t>
      </w:r>
      <w:r>
        <w:rPr>
          <w:rFonts w:hint="eastAsia"/>
        </w:rPr>
        <w:t>（蓝）</w:t>
      </w:r>
      <w:r>
        <w:t xml:space="preserve"> 表示三个颜色通道。</w:t>
      </w:r>
    </w:p>
    <w:p w14:paraId="690F834B">
      <w:pPr>
        <w:pStyle w:val="4"/>
      </w:pPr>
      <w:bookmarkStart w:id="4" w:name="sec_5"/>
      <w:r>
        <w:t>1.2 霍夫直线变换</w:t>
      </w:r>
      <w:bookmarkEnd w:id="4"/>
    </w:p>
    <w:p w14:paraId="132CC5B1">
      <w:pPr>
        <w:spacing w:before="80" w:after="160" w:line="480" w:lineRule="atLeast"/>
        <w:jc w:val="center"/>
      </w:pPr>
      <m:oMathPara>
        <m:oMath>
          <m:r>
            <m:rPr/>
            <w:rPr>
              <w:rFonts w:ascii="Cambria Math" w:hAnsi="Cambria Math"/>
            </w:rPr>
            <m:t>ρ = x cos φ + y sin φ</m:t>
          </m:r>
        </m:oMath>
      </m:oMathPara>
    </w:p>
    <w:p w14:paraId="37A8CAED">
      <w:r>
        <w:t>边缘点对候选参数ρ、φ投票，局部强峰表示一条获得较多边缘点支持的直线。ρ为图像左上角原点到直线的有符号距离，φ为图像坐标系中直线法线的角度。最高峰可能来自指针，也可能来自文字、刻度或其他长边缘，必须结合圆心约束和原图核对。[1]</w:t>
      </w:r>
      <w:bookmarkStart w:id="5" w:name="sec_6"/>
    </w:p>
    <w:bookmarkEnd w:id="5"/>
    <w:p w14:paraId="617DC5B4">
      <w:pPr>
        <w:pStyle w:val="3"/>
        <w:pageBreakBefore/>
      </w:pPr>
      <w:bookmarkStart w:id="6" w:name="_Toc242912125"/>
      <w:r>
        <w:t>2. 指针方向与读数计算</w:t>
      </w:r>
      <w:bookmarkEnd w:id="6"/>
    </w:p>
    <w:p w14:paraId="311681E7">
      <w:pPr>
        <w:pStyle w:val="4"/>
      </w:pPr>
      <w:r>
        <w:t>2.1 指针角度</w:t>
      </w:r>
    </w:p>
    <w:p w14:paraId="478249E4">
      <w:pPr>
        <w:spacing w:before="80" w:after="160" w:line="480" w:lineRule="atLeast"/>
        <w:jc w:val="center"/>
      </w:pPr>
      <m:oMathPara>
        <m:oMath>
          <m:r>
            <m:rPr/>
            <w:rPr>
              <w:rFonts w:ascii="Cambria Math" w:hAnsi="Cambria Math"/>
            </w:rPr>
            <m:t>θ = atan2(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− y, x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)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180°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 xml:space="preserve">   mod 360°</m:t>
          </m:r>
        </m:oMath>
      </m:oMathPara>
    </w:p>
    <w:p w14:paraId="6C599AE6">
      <w:r>
        <w:t>圆心为 (cx, cy)，指针方向点为 (x, y)。角度规定为右 0°、上 90°、左 180°、下 270°，逆时针为正。由于图像纵坐标向下，必须使用 cy−y。这个有向角度不能直接用霍夫法线角替代。</w:t>
      </w:r>
    </w:p>
    <w:p w14:paraId="4498590C">
      <w:pPr>
        <w:pStyle w:val="4"/>
      </w:pPr>
      <w:bookmarkStart w:id="7" w:name="sec_8"/>
      <w:r>
        <w:t>2.2 线性刻度映射</w:t>
      </w:r>
      <w:bookmarkEnd w:id="7"/>
    </w:p>
    <w:p w14:paraId="239D05FD">
      <w:r>
        <w:t>设最小、最大刻度对应角度为 θs、θe。顺时针递增时，总转角 Θ=(θs−θe) mod 360°，已转角 Δθ=(θs−θ) mod 360°；逆时针递增时分别交换减法顺序。</w:t>
      </w:r>
    </w:p>
    <w:p w14:paraId="59FB9293">
      <w:pPr>
        <w:spacing w:before="80" w:after="160" w:line="480" w:lineRule="atLeast"/>
        <w:jc w:val="center"/>
      </w:pPr>
      <m:oMathPara>
        <m:oMath>
          <m:r>
            <m:rPr/>
            <w:rPr>
              <w:rFonts w:ascii="Cambria Math" w:hAnsi="Cambria Math"/>
            </w:rPr>
            <m:t xml:space="preserve">R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Δθ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 xml:space="preserve">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2332FF2D">
      <w:r>
        <w:t>只有 Δθ 位于 0～Θ 时才进行映射。估计角度在端点外 2° 容差内可吸附到端点，并在结果中标记；更远的量程外方向拒绝输出。起止角重合的整圈仪表不在本实现范围内。</w:t>
      </w:r>
    </w:p>
    <w:p w14:paraId="767418CB">
      <w:r>
        <w:t>示例量程为 0～1.6 MPa，起点 225°、终点 315°，沿顺时针方向增加，有效转角 270°。指针朝上时 θ=90°，已转角 135°，理论读数为 0.8 MPa。实际仪表应依据表盘独立标定。</w:t>
      </w:r>
    </w:p>
    <w:p w14:paraId="5EE80D78">
      <w:pPr>
        <w:pStyle w:val="2"/>
        <w:pageBreakBefore/>
      </w:pPr>
      <w:bookmarkStart w:id="8" w:name="_Toc242912126"/>
      <w:r>
        <w:t>三、实验步骤</w:t>
      </w:r>
      <w:bookmarkEnd w:id="8"/>
    </w:p>
    <w:p w14:paraId="075999D3">
      <w:pPr>
        <w:pStyle w:val="3"/>
      </w:pPr>
      <w:bookmarkStart w:id="9" w:name="_Toc242912127"/>
      <w:r>
        <w:t>1. 程序流程与关键算法</w:t>
      </w:r>
      <w:bookmarkEnd w:id="9"/>
    </w:p>
    <w:p w14:paraId="136EF657">
      <w:r>
        <w:t>程序框图如下，对应课程要求的读图、灰度化、滤波、二值化、形态学处理、霍夫直线检测和仪表读数七个步骤。四点标定及可选霍夫圆提供几何信息；ROI、Canny边缘和针尖方向筛选用于连接这些步骤。标定、处理参数和人工参考读数分别记录，便于复现。</w:t>
      </w:r>
    </w:p>
    <w:p w14:paraId="22ED3469">
      <w:pPr>
        <w:keepNext/>
        <w:spacing w:after="20"/>
        <w:jc w:val="center"/>
      </w:pPr>
      <w:r>
        <w:drawing>
          <wp:inline distT="0" distB="0" distL="114300" distR="114300">
            <wp:extent cx="5273675" cy="2447925"/>
            <wp:effectExtent l="0" t="0" r="9525" b="635"/>
            <wp:docPr id="101" name="七步仪表识别程序框图" descr="七步仪表识别程序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七步仪表识别程序框图" descr="七步仪表识别程序框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5A98">
      <w:pPr>
        <w:pStyle w:val="6"/>
        <w:spacing w:before="60"/>
        <w:jc w:val="center"/>
      </w:pPr>
      <w:r>
        <w:t>程序框图 七个处理步骤及拒识分支</w:t>
      </w:r>
    </w:p>
    <w:p w14:paraId="05A02069">
      <w:pPr>
        <w:pStyle w:val="4"/>
      </w:pPr>
      <w:bookmarkStart w:id="10" w:name="sec_11"/>
      <w:r>
        <w:t>1.1 图像预处理</w:t>
      </w:r>
      <w:bookmarkEnd w:id="10"/>
    </w:p>
    <w:p w14:paraId="6B080F8B">
      <w:pPr>
        <w:keepNext/>
        <w:snapToGrid w:val="0"/>
        <w:spacing w:after="80" w:line="264" w:lineRule="auto"/>
        <w:jc w:val="left"/>
      </w:pPr>
      <w:r>
        <w:rPr>
          <w:color w:val="000000"/>
          <w:szCs w:val="21"/>
        </w:rPr>
        <w:t>cv2 表示 OpenCV，np 表示 NumPy；uint8 为取值 0～255 的 8 位无符号整数。max(a, b) 取较大值，floor(x) 向下取整，mod 表示取模。过程名用于说明算法，实际 Python 接口以 core.py 为准。</w:t>
      </w:r>
    </w:p>
    <w:tbl>
      <w:tblPr>
        <w:tblStyle w:val="11"/>
        <w:tblW w:w="9015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30" w:type="dxa"/>
          <w:left w:w="50" w:type="dxa"/>
          <w:bottom w:w="30" w:type="dxa"/>
          <w:right w:w="50" w:type="dxa"/>
        </w:tblCellMar>
      </w:tblPr>
      <w:tblGrid>
        <w:gridCol w:w="510"/>
        <w:gridCol w:w="8505"/>
      </w:tblGrid>
      <w:tr w14:paraId="22A24EEF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F494410">
            <w:pPr>
              <w:keepNext/>
              <w:keepLines/>
              <w:snapToGrid w:val="0"/>
              <w:spacing w:before="40" w:line="252" w:lineRule="auto"/>
              <w:jc w:val="right"/>
            </w:pPr>
            <w:r>
              <w:rPr>
                <w:color w:val="000000"/>
                <w:szCs w:val="21"/>
              </w:rPr>
              <w:t>1:</w:t>
            </w:r>
          </w:p>
        </w:tc>
        <w:tc>
          <w:tcPr>
            <w:tcW w:w="8504" w:type="dxa"/>
            <w:vAlign w:val="center"/>
          </w:tcPr>
          <w:p w14:paraId="28C4D814">
            <w:pPr>
              <w:keepNext/>
              <w:keepLines/>
              <w:snapToGrid w:val="0"/>
              <w:spacing w:before="40" w:line="252" w:lineRule="auto"/>
              <w:jc w:val="left"/>
            </w:pPr>
            <w:r>
              <w:rPr>
                <w:b/>
                <w:color w:val="000000"/>
                <w:szCs w:val="21"/>
              </w:rPr>
              <w:t>procedure</w:t>
            </w:r>
            <w:r>
              <w:rPr>
                <w:color w:val="000000"/>
                <w:szCs w:val="21"/>
              </w:rPr>
              <w:t xml:space="preserve"> Preprocess(I, M)</w:t>
            </w:r>
          </w:p>
        </w:tc>
      </w:tr>
      <w:tr w14:paraId="1051D34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47BAEE3B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2:</w:t>
            </w:r>
          </w:p>
        </w:tc>
        <w:tc>
          <w:tcPr>
            <w:tcW w:w="8504" w:type="dxa"/>
            <w:vAlign w:val="center"/>
          </w:tcPr>
          <w:p w14:paraId="69522B3E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功能：预处理仪表图像，提取环形区域内的边缘</w:t>
            </w:r>
          </w:p>
        </w:tc>
      </w:tr>
      <w:tr w14:paraId="25401F6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E21FD0B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3:</w:t>
            </w:r>
          </w:p>
        </w:tc>
        <w:tc>
          <w:tcPr>
            <w:tcW w:w="8504" w:type="dxa"/>
            <w:vAlign w:val="center"/>
          </w:tcPr>
          <w:p w14:paraId="68F54AB6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输入 I：已校正朝向的 8 位 BGR 彩色图像</w:t>
            </w:r>
          </w:p>
        </w:tc>
      </w:tr>
      <w:tr w14:paraId="3B0ACD1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80192DA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4:</w:t>
            </w:r>
          </w:p>
        </w:tc>
        <w:tc>
          <w:tcPr>
            <w:tcW w:w="8504" w:type="dxa"/>
            <w:vAlign w:val="center"/>
          </w:tcPr>
          <w:p w14:paraId="5F6B8644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输入 M：与 I 等宽等高的 8 位环形掩膜；0 舍弃，255 保留</w:t>
            </w:r>
          </w:p>
        </w:tc>
      </w:tr>
      <w:tr w14:paraId="03CE45E1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86A1ABC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5:</w:t>
            </w:r>
          </w:p>
        </w:tc>
        <w:tc>
          <w:tcPr>
            <w:tcW w:w="8504" w:type="dxa"/>
            <w:vAlign w:val="center"/>
          </w:tcPr>
          <w:p w14:paraId="0990670E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输出 E：与 I 等宽等高的边缘图；边缘为 255，其余为 0</w:t>
            </w:r>
          </w:p>
        </w:tc>
      </w:tr>
      <w:tr w14:paraId="063CA825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B5B6849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6:</w:t>
            </w:r>
          </w:p>
        </w:tc>
        <w:tc>
          <w:tcPr>
            <w:tcW w:w="8504" w:type="dxa"/>
            <w:vAlign w:val="center"/>
          </w:tcPr>
          <w:p w14:paraId="1CBC7E0E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G ← cv2.cvtColor(I, cv2.COLOR_BGR2GRAY)</w:t>
            </w:r>
          </w:p>
        </w:tc>
      </w:tr>
      <w:tr w14:paraId="0A66D2D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00B4ABD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7:</w:t>
            </w:r>
          </w:p>
        </w:tc>
        <w:tc>
          <w:tcPr>
            <w:tcW w:w="8504" w:type="dxa"/>
            <w:vAlign w:val="center"/>
          </w:tcPr>
          <w:p w14:paraId="2C3F1073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cvtColor 转换颜色空间；G 为灰度图</w:t>
            </w:r>
          </w:p>
        </w:tc>
      </w:tr>
      <w:tr w14:paraId="5AFA84C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5B23088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8:</w:t>
            </w:r>
          </w:p>
        </w:tc>
        <w:tc>
          <w:tcPr>
            <w:tcW w:w="8504" w:type="dxa"/>
            <w:vAlign w:val="center"/>
          </w:tcPr>
          <w:p w14:paraId="3FFCA95F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F ← cv2.GaussianBlur(G, (5, 5), 0)</w:t>
            </w:r>
          </w:p>
        </w:tc>
      </w:tr>
      <w:tr w14:paraId="502D6DE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57C52D12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9:</w:t>
            </w:r>
          </w:p>
        </w:tc>
        <w:tc>
          <w:tcPr>
            <w:tcW w:w="8504" w:type="dxa"/>
            <w:vAlign w:val="center"/>
          </w:tcPr>
          <w:p w14:paraId="425EF6C3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GaussianBlur 减弱噪声；F 为滤波图；0 表示标准差自动确定</w:t>
            </w:r>
          </w:p>
        </w:tc>
      </w:tr>
      <w:tr w14:paraId="747AC77E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79DE39AA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10:</w:t>
            </w:r>
          </w:p>
        </w:tc>
        <w:tc>
          <w:tcPr>
            <w:tcW w:w="8504" w:type="dxa"/>
            <w:vAlign w:val="center"/>
          </w:tcPr>
          <w:p w14:paraId="5D572D89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mode ← cv2.THRESH_BINARY_INV | cv2.THRESH_OTSU</w:t>
            </w:r>
          </w:p>
        </w:tc>
      </w:tr>
      <w:tr w14:paraId="543C634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5442E1A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11:</w:t>
            </w:r>
          </w:p>
        </w:tc>
        <w:tc>
          <w:tcPr>
            <w:tcW w:w="8504" w:type="dxa"/>
            <w:vAlign w:val="center"/>
          </w:tcPr>
          <w:p w14:paraId="43A962B4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(T, B) ← cv2.threshold(F, 0, 255, mode)</w:t>
            </w:r>
          </w:p>
        </w:tc>
      </w:tr>
      <w:tr w14:paraId="45ACCAC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BB8F34F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12:</w:t>
            </w:r>
          </w:p>
        </w:tc>
        <w:tc>
          <w:tcPr>
            <w:tcW w:w="8504" w:type="dxa"/>
            <w:vAlign w:val="center"/>
          </w:tcPr>
          <w:p w14:paraId="715ADBBD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threshold 阈值分割；mode 为反向二值化与 Otsu 的组合模式</w:t>
            </w:r>
          </w:p>
        </w:tc>
      </w:tr>
      <w:tr w14:paraId="3E9F385B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0EC54DE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13:</w:t>
            </w:r>
          </w:p>
        </w:tc>
        <w:tc>
          <w:tcPr>
            <w:tcW w:w="8504" w:type="dxa"/>
            <w:vAlign w:val="center"/>
          </w:tcPr>
          <w:p w14:paraId="558085F0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T 为自动阈值；B 为二值图；F ≤ T 时取 255，否则取 0</w:t>
            </w:r>
          </w:p>
        </w:tc>
      </w:tr>
      <w:tr w14:paraId="1878BA3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7D41D1AC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14:</w:t>
            </w:r>
          </w:p>
        </w:tc>
        <w:tc>
          <w:tcPr>
            <w:tcW w:w="8504" w:type="dxa"/>
            <w:vAlign w:val="center"/>
          </w:tcPr>
          <w:p w14:paraId="6115B2C9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参数 0 为阈值占位值，实际阈值由 Otsu 自动计算</w:t>
            </w:r>
          </w:p>
        </w:tc>
      </w:tr>
      <w:tr w14:paraId="201A092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A8D7B3E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15:</w:t>
            </w:r>
          </w:p>
        </w:tc>
        <w:tc>
          <w:tcPr>
            <w:tcW w:w="8504" w:type="dxa"/>
            <w:vAlign w:val="center"/>
          </w:tcPr>
          <w:p w14:paraId="50BDE57F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K ← np.ones((3, 3), dtype=np.uint8)</w:t>
            </w:r>
          </w:p>
        </w:tc>
      </w:tr>
      <w:tr w14:paraId="0183DFE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1DE4370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16:</w:t>
            </w:r>
          </w:p>
        </w:tc>
        <w:tc>
          <w:tcPr>
            <w:tcW w:w="8504" w:type="dxa"/>
            <w:vAlign w:val="center"/>
          </w:tcPr>
          <w:p w14:paraId="66CDD57C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ones 生成全 1 矩阵；K 为 3×3 的 8 位结构元素</w:t>
            </w:r>
          </w:p>
        </w:tc>
      </w:tr>
      <w:tr w14:paraId="160DB9E5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B322D76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17:</w:t>
            </w:r>
          </w:p>
        </w:tc>
        <w:tc>
          <w:tcPr>
            <w:tcW w:w="8504" w:type="dxa"/>
            <w:vAlign w:val="center"/>
          </w:tcPr>
          <w:p w14:paraId="0F06E1B6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C ← cv2.morphologyEx(B, cv2.MORPH_CLOSE, K)</w:t>
            </w:r>
          </w:p>
        </w:tc>
      </w:tr>
      <w:tr w14:paraId="2B7E557E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7A13134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18:</w:t>
            </w:r>
          </w:p>
        </w:tc>
        <w:tc>
          <w:tcPr>
            <w:tcW w:w="8504" w:type="dxa"/>
            <w:vAlign w:val="center"/>
          </w:tcPr>
          <w:p w14:paraId="6DE95567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morphologyEx 执行闭运算（先膨胀后腐蚀）；C 为形态学结果</w:t>
            </w:r>
          </w:p>
        </w:tc>
      </w:tr>
      <w:tr w14:paraId="1C0E63E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8A28D07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19:</w:t>
            </w:r>
          </w:p>
        </w:tc>
        <w:tc>
          <w:tcPr>
            <w:tcW w:w="8504" w:type="dxa"/>
            <w:vAlign w:val="center"/>
          </w:tcPr>
          <w:p w14:paraId="7F091F9A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R ← cv2.bitwise_and(C, M)</w:t>
            </w:r>
          </w:p>
        </w:tc>
      </w:tr>
      <w:tr w14:paraId="51D04BB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F1AC890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20:</w:t>
            </w:r>
          </w:p>
        </w:tc>
        <w:tc>
          <w:tcPr>
            <w:tcW w:w="8504" w:type="dxa"/>
            <w:vAlign w:val="center"/>
          </w:tcPr>
          <w:p w14:paraId="718D38FE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bitwise_and 按位相与；R 为仅保留环形区域前景的图像</w:t>
            </w:r>
          </w:p>
        </w:tc>
      </w:tr>
      <w:tr w14:paraId="113AB20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EF513BB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21:</w:t>
            </w:r>
          </w:p>
        </w:tc>
        <w:tc>
          <w:tcPr>
            <w:tcW w:w="8504" w:type="dxa"/>
            <w:vAlign w:val="center"/>
          </w:tcPr>
          <w:p w14:paraId="5B02B085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E ← cv2.Canny(R, 50, 150)</w:t>
            </w:r>
          </w:p>
        </w:tc>
      </w:tr>
      <w:tr w14:paraId="26B863C2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3CBF2D0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22:</w:t>
            </w:r>
          </w:p>
        </w:tc>
        <w:tc>
          <w:tcPr>
            <w:tcW w:w="8504" w:type="dxa"/>
            <w:vAlign w:val="center"/>
          </w:tcPr>
          <w:p w14:paraId="122EC140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Canny 提取边缘；50、150 分别为低、高阈值</w:t>
            </w:r>
          </w:p>
        </w:tc>
      </w:tr>
      <w:tr w14:paraId="3051F77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AD7C31A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23:</w:t>
            </w:r>
          </w:p>
        </w:tc>
        <w:tc>
          <w:tcPr>
            <w:tcW w:w="8504" w:type="dxa"/>
            <w:vAlign w:val="center"/>
          </w:tcPr>
          <w:p w14:paraId="126463B6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b/>
                <w:color w:val="000000"/>
                <w:szCs w:val="21"/>
              </w:rPr>
              <w:t>return</w:t>
            </w:r>
            <w:r>
              <w:rPr>
                <w:color w:val="000000"/>
                <w:szCs w:val="21"/>
              </w:rPr>
              <w:t xml:space="preserve"> E</w:t>
            </w:r>
          </w:p>
        </w:tc>
      </w:tr>
      <w:tr w14:paraId="6872813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53903CFE">
            <w:pPr>
              <w:keepLines/>
              <w:snapToGrid w:val="0"/>
              <w:spacing w:after="40" w:line="252" w:lineRule="auto"/>
              <w:jc w:val="right"/>
            </w:pPr>
            <w:r>
              <w:rPr>
                <w:color w:val="000000"/>
                <w:szCs w:val="21"/>
              </w:rPr>
              <w:t>24:</w:t>
            </w:r>
          </w:p>
        </w:tc>
        <w:tc>
          <w:tcPr>
            <w:tcW w:w="8504" w:type="dxa"/>
            <w:vAlign w:val="center"/>
          </w:tcPr>
          <w:p w14:paraId="5F80BA28">
            <w:pPr>
              <w:keepLines/>
              <w:snapToGrid w:val="0"/>
              <w:spacing w:after="40" w:line="252" w:lineRule="auto"/>
              <w:jc w:val="left"/>
            </w:pPr>
            <w:r>
              <w:rPr>
                <w:b/>
                <w:color w:val="000000"/>
                <w:szCs w:val="21"/>
              </w:rPr>
              <w:t>end procedure</w:t>
            </w:r>
          </w:p>
        </w:tc>
      </w:tr>
    </w:tbl>
    <w:p w14:paraId="0BD448BE">
      <w:pPr>
        <w:spacing w:after="60" w:line="80" w:lineRule="exact"/>
      </w:pPr>
    </w:p>
    <w:p w14:paraId="69F75D1D">
      <w:r>
        <w:t>上述伪代码对应深色指针默认配置；完整实现见 core.py。环形区域保留距圆心 0.13r～0.80r 的前景，用于削弱中心轴帽、外圆和外侧刻度的干扰。</w:t>
      </w:r>
    </w:p>
    <w:p w14:paraId="51BC154C">
      <w:r>
        <w:t>七个步骤在代码中的对应位置为：read_image负责读入；preprocess完成灰度化、滤波、二值化、形态学及ROI处理；detect_pointer调用HoughLinesP并筛选针尖方向；angle_to_value完成量程映射。以下用伪代码表示识别成功时的核心计算路径，校验、可选找圆、拒识及导出分支见程序框图。</w:t>
      </w:r>
    </w:p>
    <w:tbl>
      <w:tblPr>
        <w:tblStyle w:val="11"/>
        <w:tblW w:w="9015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30" w:type="dxa"/>
          <w:left w:w="50" w:type="dxa"/>
          <w:bottom w:w="30" w:type="dxa"/>
          <w:right w:w="50" w:type="dxa"/>
        </w:tblCellMar>
      </w:tblPr>
      <w:tblGrid>
        <w:gridCol w:w="510"/>
        <w:gridCol w:w="8505"/>
      </w:tblGrid>
      <w:tr w14:paraId="70808AA1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789F6CD">
            <w:pPr>
              <w:keepNext/>
              <w:keepLines/>
              <w:snapToGrid w:val="0"/>
              <w:spacing w:before="40" w:line="252" w:lineRule="auto"/>
              <w:jc w:val="right"/>
            </w:pPr>
            <w:r>
              <w:rPr>
                <w:color w:val="000000"/>
                <w:szCs w:val="21"/>
              </w:rPr>
              <w:t>1:</w:t>
            </w:r>
          </w:p>
        </w:tc>
        <w:tc>
          <w:tcPr>
            <w:tcW w:w="8504" w:type="dxa"/>
            <w:vAlign w:val="center"/>
          </w:tcPr>
          <w:p w14:paraId="42CDE96B">
            <w:pPr>
              <w:keepNext/>
              <w:keepLines/>
              <w:snapToGrid w:val="0"/>
              <w:spacing w:before="40" w:line="252" w:lineRule="auto"/>
              <w:jc w:val="left"/>
            </w:pPr>
            <w:r>
              <w:rPr>
                <w:b/>
                <w:color w:val="000000"/>
                <w:szCs w:val="21"/>
              </w:rPr>
              <w:t>procedure ReadGauge(path, C, P)</w:t>
            </w:r>
          </w:p>
        </w:tc>
      </w:tr>
      <w:tr w14:paraId="565B29EF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E533DC0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2:</w:t>
            </w:r>
          </w:p>
        </w:tc>
        <w:tc>
          <w:tcPr>
            <w:tcW w:w="8504" w:type="dxa"/>
            <w:vAlign w:val="center"/>
          </w:tcPr>
          <w:p w14:paraId="2A749A96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I ← ReadImage(path)</w:t>
            </w:r>
          </w:p>
        </w:tc>
      </w:tr>
      <w:tr w14:paraId="66FC466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2648D92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3:</w:t>
            </w:r>
          </w:p>
        </w:tc>
        <w:tc>
          <w:tcPr>
            <w:tcW w:w="8504" w:type="dxa"/>
            <w:vAlign w:val="center"/>
          </w:tcPr>
          <w:p w14:paraId="6697C20C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S ← PreprocessImage(I, C, P)</w:t>
            </w:r>
          </w:p>
        </w:tc>
      </w:tr>
      <w:tr w14:paraId="10C3789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77262B3E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4:</w:t>
            </w:r>
          </w:p>
        </w:tc>
        <w:tc>
          <w:tcPr>
            <w:tcW w:w="8504" w:type="dxa"/>
            <w:vAlign w:val="center"/>
          </w:tcPr>
          <w:p w14:paraId="0E55E875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(θ, s) ← DetectPointer(S, C, P)</w:t>
            </w:r>
          </w:p>
        </w:tc>
      </w:tr>
      <w:tr w14:paraId="7FAC48AE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5F61984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5:</w:t>
            </w:r>
          </w:p>
        </w:tc>
        <w:tc>
          <w:tcPr>
            <w:tcW w:w="8504" w:type="dxa"/>
            <w:vAlign w:val="center"/>
          </w:tcPr>
          <w:p w14:paraId="3D3D9C91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V ← MapAngleToReading(θ, C, P.endpoint_tolerance)</w:t>
            </w:r>
          </w:p>
        </w:tc>
      </w:tr>
      <w:tr w14:paraId="2B3EA427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F6D2B88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6:</w:t>
            </w:r>
          </w:p>
        </w:tc>
        <w:tc>
          <w:tcPr>
            <w:tcW w:w="8504" w:type="dxa"/>
            <w:vAlign w:val="center"/>
          </w:tcPr>
          <w:p w14:paraId="6A2BBEAB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return (V, θ, s)</w:t>
            </w:r>
          </w:p>
        </w:tc>
      </w:tr>
      <w:tr w14:paraId="3B1B3D57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D2C3394">
            <w:pPr>
              <w:keepLines/>
              <w:snapToGrid w:val="0"/>
              <w:spacing w:after="40" w:line="252" w:lineRule="auto"/>
              <w:jc w:val="right"/>
            </w:pPr>
            <w:r>
              <w:rPr>
                <w:color w:val="000000"/>
                <w:szCs w:val="21"/>
              </w:rPr>
              <w:t>7:</w:t>
            </w:r>
          </w:p>
        </w:tc>
        <w:tc>
          <w:tcPr>
            <w:tcW w:w="8504" w:type="dxa"/>
            <w:vAlign w:val="center"/>
          </w:tcPr>
          <w:p w14:paraId="43C36C36">
            <w:pPr>
              <w:keepLines/>
              <w:snapToGrid w:val="0"/>
              <w:spacing w:after="40" w:line="252" w:lineRule="auto"/>
              <w:jc w:val="left"/>
            </w:pPr>
            <w:r>
              <w:rPr>
                <w:b/>
                <w:color w:val="000000"/>
                <w:szCs w:val="21"/>
              </w:rPr>
              <w:t>end procedure</w:t>
            </w:r>
          </w:p>
        </w:tc>
      </w:tr>
    </w:tbl>
    <w:p w14:paraId="1F0D17C3">
      <w:r>
        <w:t>其中C为标定，P为处理参数，S为预处理结果，s为径向支持率。过程名仅表示算法；角度映射包含旋转方向和端点容差，不作为可直接执行的Python代码。</w:t>
      </w:r>
    </w:p>
    <w:p w14:paraId="54554F8F">
      <w:pPr>
        <w:pStyle w:val="4"/>
      </w:pPr>
      <w:bookmarkStart w:id="11" w:name="sec_12"/>
      <w:r>
        <w:t>1.2 候选线段与指针定向</w:t>
      </w:r>
      <w:bookmarkEnd w:id="11"/>
    </w:p>
    <w:tbl>
      <w:tblPr>
        <w:tblStyle w:val="11"/>
        <w:tblW w:w="9015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30" w:type="dxa"/>
          <w:left w:w="50" w:type="dxa"/>
          <w:bottom w:w="30" w:type="dxa"/>
          <w:right w:w="50" w:type="dxa"/>
        </w:tblCellMar>
      </w:tblPr>
      <w:tblGrid>
        <w:gridCol w:w="510"/>
        <w:gridCol w:w="8505"/>
      </w:tblGrid>
      <w:tr w14:paraId="1A1C5E7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7D9F1DF">
            <w:pPr>
              <w:keepNext/>
              <w:keepLines/>
              <w:snapToGrid w:val="0"/>
              <w:spacing w:before="40" w:line="252" w:lineRule="auto"/>
              <w:jc w:val="right"/>
            </w:pPr>
            <w:r>
              <w:rPr>
                <w:color w:val="000000"/>
                <w:szCs w:val="21"/>
              </w:rPr>
              <w:t>1:</w:t>
            </w:r>
          </w:p>
        </w:tc>
        <w:tc>
          <w:tcPr>
            <w:tcW w:w="8504" w:type="dxa"/>
            <w:vAlign w:val="center"/>
          </w:tcPr>
          <w:p w14:paraId="2F20D872">
            <w:pPr>
              <w:keepNext/>
              <w:keepLines/>
              <w:snapToGrid w:val="0"/>
              <w:spacing w:before="40" w:line="252" w:lineRule="auto"/>
              <w:jc w:val="left"/>
            </w:pPr>
            <w:r>
              <w:rPr>
                <w:b/>
                <w:color w:val="000000"/>
                <w:szCs w:val="21"/>
              </w:rPr>
              <w:t>procedure</w:t>
            </w:r>
            <w:r>
              <w:rPr>
                <w:color w:val="000000"/>
                <w:szCs w:val="21"/>
              </w:rPr>
              <w:t xml:space="preserve"> DetectLines(E, r)</w:t>
            </w:r>
          </w:p>
        </w:tc>
      </w:tr>
      <w:tr w14:paraId="2E186026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4D61A96A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2:</w:t>
            </w:r>
          </w:p>
        </w:tc>
        <w:tc>
          <w:tcPr>
            <w:tcW w:w="8504" w:type="dxa"/>
            <w:vAlign w:val="center"/>
          </w:tcPr>
          <w:p w14:paraId="36AD36B4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功能：用概率霍夫变换提取候选线段，供后续筛选针尖方向</w:t>
            </w:r>
          </w:p>
        </w:tc>
      </w:tr>
      <w:tr w14:paraId="7CC71B9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782D5397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3:</w:t>
            </w:r>
          </w:p>
        </w:tc>
        <w:tc>
          <w:tcPr>
            <w:tcW w:w="8504" w:type="dxa"/>
            <w:vAlign w:val="center"/>
          </w:tcPr>
          <w:p w14:paraId="7DECB420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输入 E：8 位边缘图；r：当前处理图像中的表盘半径，单位像素</w:t>
            </w:r>
          </w:p>
        </w:tc>
      </w:tr>
      <w:tr w14:paraId="32F77DD5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7D7A8CAD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4:</w:t>
            </w:r>
          </w:p>
        </w:tc>
        <w:tc>
          <w:tcPr>
            <w:tcW w:w="8504" w:type="dxa"/>
            <w:vAlign w:val="center"/>
          </w:tcPr>
          <w:p w14:paraId="6173CFCB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输出 L：候选线段；每条记录为 (x1, y1, x2, y2)，单位像素</w:t>
            </w:r>
          </w:p>
        </w:tc>
      </w:tr>
      <w:tr w14:paraId="7DB7B4B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5BA31B1C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5:</w:t>
            </w:r>
          </w:p>
        </w:tc>
        <w:tc>
          <w:tcPr>
            <w:tcW w:w="8504" w:type="dxa"/>
            <w:vAlign w:val="center"/>
          </w:tcPr>
          <w:p w14:paraId="1B53ECFF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端点坐标以图像左上角为原点，x 向右增大，y 向下增大</w:t>
            </w:r>
          </w:p>
        </w:tc>
      </w:tr>
      <w:tr w14:paraId="0D95199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B9CFEFE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6:</w:t>
            </w:r>
          </w:p>
        </w:tc>
        <w:tc>
          <w:tcPr>
            <w:tcW w:w="8504" w:type="dxa"/>
            <w:vAlign w:val="center"/>
          </w:tcPr>
          <w:p w14:paraId="20EF0B66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ρstep ← 1  // 霍夫距离参数的分辨率，单位像素</w:t>
            </w:r>
          </w:p>
        </w:tc>
      </w:tr>
      <w:tr w14:paraId="5A3A069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C030E38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7:</w:t>
            </w:r>
          </w:p>
        </w:tc>
        <w:tc>
          <w:tcPr>
            <w:tcW w:w="8504" w:type="dxa"/>
            <w:vAlign w:val="center"/>
          </w:tcPr>
          <w:p w14:paraId="0C4550D1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φstep ← π / 720  // 霍夫法线角分辨率，单位弧度，等于 0.25°</w:t>
            </w:r>
          </w:p>
        </w:tc>
      </w:tr>
      <w:tr w14:paraId="64E7168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7F1ABBB1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8:</w:t>
            </w:r>
          </w:p>
        </w:tc>
        <w:tc>
          <w:tcPr>
            <w:tcW w:w="8504" w:type="dxa"/>
            <w:vAlign w:val="center"/>
          </w:tcPr>
          <w:p w14:paraId="3F9F7F65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τ ← max(15, floor(0.12 × r))  // 累加器投票阈值</w:t>
            </w:r>
          </w:p>
        </w:tc>
      </w:tr>
      <w:tr w14:paraId="30A580E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058859A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9:</w:t>
            </w:r>
          </w:p>
        </w:tc>
        <w:tc>
          <w:tcPr>
            <w:tcW w:w="8504" w:type="dxa"/>
            <w:vAlign w:val="center"/>
          </w:tcPr>
          <w:p w14:paraId="2F0A13C7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ℓmin ← max(10, floor(0.24 × r))  // 最短候选线段长度，单位像素</w:t>
            </w:r>
          </w:p>
        </w:tc>
      </w:tr>
      <w:tr w14:paraId="5FF189FE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584FD073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10:</w:t>
            </w:r>
          </w:p>
        </w:tc>
        <w:tc>
          <w:tcPr>
            <w:tcW w:w="8504" w:type="dxa"/>
            <w:vAlign w:val="center"/>
          </w:tcPr>
          <w:p w14:paraId="08FCA924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gmax ← max(2, floor(0.06 × r))  // 可连接的最大线段间隙，单位像素</w:t>
            </w:r>
          </w:p>
        </w:tc>
      </w:tr>
      <w:tr w14:paraId="2781A10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5047ACCA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11:</w:t>
            </w:r>
          </w:p>
        </w:tc>
        <w:tc>
          <w:tcPr>
            <w:tcW w:w="8504" w:type="dxa"/>
            <w:vAlign w:val="center"/>
          </w:tcPr>
          <w:p w14:paraId="68BCA137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L ← cv2.HoughLinesP(E, ρstep, φstep, τ,</w:t>
            </w:r>
          </w:p>
        </w:tc>
      </w:tr>
      <w:tr w14:paraId="72A644C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30B98E2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12:</w:t>
            </w:r>
          </w:p>
        </w:tc>
        <w:tc>
          <w:tcPr>
            <w:tcW w:w="8504" w:type="dxa"/>
            <w:vAlign w:val="center"/>
          </w:tcPr>
          <w:p w14:paraId="5EF4DBEF">
            <w:pPr>
              <w:keepNext/>
              <w:keepLines/>
              <w:snapToGrid w:val="0"/>
              <w:spacing w:line="252" w:lineRule="auto"/>
              <w:ind w:left="624"/>
              <w:jc w:val="left"/>
            </w:pPr>
            <w:r>
              <w:rPr>
                <w:color w:val="000000"/>
                <w:szCs w:val="21"/>
              </w:rPr>
              <w:t>minLineLength=ℓmin, maxLineGap=gmax)</w:t>
            </w:r>
          </w:p>
        </w:tc>
      </w:tr>
      <w:tr w14:paraId="57BB49BF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FA86D49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13:</w:t>
            </w:r>
          </w:p>
        </w:tc>
        <w:tc>
          <w:tcPr>
            <w:tcW w:w="8504" w:type="dxa"/>
            <w:vAlign w:val="center"/>
          </w:tcPr>
          <w:p w14:paraId="2B758D52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HoughLinesP 返回线段端点；候选线段不等于最终指针方向</w:t>
            </w:r>
          </w:p>
        </w:tc>
      </w:tr>
      <w:tr w14:paraId="12C7DFA7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4708FEC0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14:</w:t>
            </w:r>
          </w:p>
        </w:tc>
        <w:tc>
          <w:tcPr>
            <w:tcW w:w="8504" w:type="dxa"/>
            <w:vAlign w:val="center"/>
          </w:tcPr>
          <w:p w14:paraId="3F21E7D6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未检测到线段时库函数返回 None，应由后续流程记录拒识原因</w:t>
            </w:r>
          </w:p>
        </w:tc>
      </w:tr>
      <w:tr w14:paraId="3B99BD0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8DBB428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15:</w:t>
            </w:r>
          </w:p>
        </w:tc>
        <w:tc>
          <w:tcPr>
            <w:tcW w:w="8504" w:type="dxa"/>
            <w:vAlign w:val="center"/>
          </w:tcPr>
          <w:p w14:paraId="3F9B15A2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b/>
                <w:color w:val="000000"/>
                <w:szCs w:val="21"/>
              </w:rPr>
              <w:t>return</w:t>
            </w:r>
            <w:r>
              <w:rPr>
                <w:color w:val="000000"/>
                <w:szCs w:val="21"/>
              </w:rPr>
              <w:t xml:space="preserve"> L</w:t>
            </w:r>
          </w:p>
        </w:tc>
      </w:tr>
      <w:tr w14:paraId="43E7DF7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3F63CFE">
            <w:pPr>
              <w:keepLines/>
              <w:snapToGrid w:val="0"/>
              <w:spacing w:after="40" w:line="252" w:lineRule="auto"/>
              <w:jc w:val="right"/>
            </w:pPr>
            <w:r>
              <w:rPr>
                <w:color w:val="000000"/>
                <w:szCs w:val="21"/>
              </w:rPr>
              <w:t>16:</w:t>
            </w:r>
          </w:p>
        </w:tc>
        <w:tc>
          <w:tcPr>
            <w:tcW w:w="8504" w:type="dxa"/>
            <w:vAlign w:val="center"/>
          </w:tcPr>
          <w:p w14:paraId="688EA8A0">
            <w:pPr>
              <w:keepLines/>
              <w:snapToGrid w:val="0"/>
              <w:spacing w:after="40" w:line="252" w:lineRule="auto"/>
              <w:jc w:val="left"/>
            </w:pPr>
            <w:r>
              <w:rPr>
                <w:b/>
                <w:color w:val="000000"/>
                <w:szCs w:val="21"/>
              </w:rPr>
              <w:t>end procedure</w:t>
            </w:r>
          </w:p>
        </w:tc>
      </w:tr>
    </w:tbl>
    <w:p w14:paraId="31757E53">
      <w:pPr>
        <w:spacing w:after="60" w:line="80" w:lineRule="exact"/>
      </w:pPr>
    </w:p>
    <w:p w14:paraId="037C0DAC">
      <w:r>
        <w:t>先去除偏离圆心的直线，再对每条候选线的两个方向分别进行径向采样。每个方向在局部 ±3° 范围内以 0.25° 步长搜索，通过支持比例、针尖延伸长度、线段长度和圆心偏差评分。强度相近且相隔超过 15° 的多个方向触发拒识，避免把双向线或多指针当作唯一结果。</w:t>
      </w:r>
    </w:p>
    <w:p w14:paraId="492538F4">
      <w:r>
        <w:t>针尖方向由图像证据确定后，再检查是否处于量程内。径向支持不足或延伸不足时拒识。ray_support是在180个径向采样位置中满足窄带前景条件的位置比例，属于启发式图像特征，既不是正确概率，也不是读数准确率。</w:t>
      </w:r>
    </w:p>
    <w:p w14:paraId="3406CEB2">
      <w:pPr>
        <w:pStyle w:val="4"/>
      </w:pPr>
      <w:bookmarkStart w:id="12" w:name="sec_13"/>
      <w:r>
        <w:t>1.3 角度映射</w:t>
      </w:r>
      <w:bookmarkEnd w:id="12"/>
    </w:p>
    <w:tbl>
      <w:tblPr>
        <w:tblStyle w:val="11"/>
        <w:tblW w:w="9015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30" w:type="dxa"/>
          <w:left w:w="50" w:type="dxa"/>
          <w:bottom w:w="30" w:type="dxa"/>
          <w:right w:w="50" w:type="dxa"/>
        </w:tblCellMar>
      </w:tblPr>
      <w:tblGrid>
        <w:gridCol w:w="510"/>
        <w:gridCol w:w="8505"/>
      </w:tblGrid>
      <w:tr w14:paraId="4B37310E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4344547">
            <w:pPr>
              <w:keepNext/>
              <w:keepLines/>
              <w:snapToGrid w:val="0"/>
              <w:spacing w:before="40" w:line="252" w:lineRule="auto"/>
              <w:jc w:val="right"/>
            </w:pPr>
            <w:r>
              <w:rPr>
                <w:color w:val="000000"/>
                <w:szCs w:val="21"/>
              </w:rPr>
              <w:t>1:</w:t>
            </w:r>
          </w:p>
        </w:tc>
        <w:tc>
          <w:tcPr>
            <w:tcW w:w="8504" w:type="dxa"/>
            <w:vAlign w:val="center"/>
          </w:tcPr>
          <w:p w14:paraId="64527AA0">
            <w:pPr>
              <w:keepNext/>
              <w:keepLines/>
              <w:snapToGrid w:val="0"/>
              <w:spacing w:before="40" w:line="252" w:lineRule="auto"/>
              <w:jc w:val="left"/>
            </w:pPr>
            <w:r>
              <w:rPr>
                <w:b/>
                <w:color w:val="000000"/>
                <w:szCs w:val="21"/>
              </w:rPr>
              <w:t>procedure</w:t>
            </w:r>
            <w:r>
              <w:rPr>
                <w:color w:val="000000"/>
                <w:szCs w:val="21"/>
              </w:rPr>
              <w:t xml:space="preserve"> AngleToValue(θ, θs, θe, Vmin, Vmax)</w:t>
            </w:r>
          </w:p>
        </w:tc>
      </w:tr>
      <w:tr w14:paraId="2A9D4F6F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F61B344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2:</w:t>
            </w:r>
          </w:p>
        </w:tc>
        <w:tc>
          <w:tcPr>
            <w:tcW w:w="8504" w:type="dxa"/>
            <w:vAlign w:val="center"/>
          </w:tcPr>
          <w:p w14:paraId="0226EEA1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功能：将顺时针递增、线性刻度仪表的指针角度映射为读数</w:t>
            </w:r>
          </w:p>
        </w:tc>
      </w:tr>
      <w:tr w14:paraId="0BD2FC9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FFD30F6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3:</w:t>
            </w:r>
          </w:p>
        </w:tc>
        <w:tc>
          <w:tcPr>
            <w:tcW w:w="8504" w:type="dxa"/>
            <w:vAlign w:val="center"/>
          </w:tcPr>
          <w:p w14:paraId="5F4C43D4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输入 θ：指针方向角；θs、θe：量程最小、最大值位置的方向角</w:t>
            </w:r>
          </w:p>
        </w:tc>
      </w:tr>
      <w:tr w14:paraId="71B4532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8315898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4:</w:t>
            </w:r>
          </w:p>
        </w:tc>
        <w:tc>
          <w:tcPr>
            <w:tcW w:w="8504" w:type="dxa"/>
            <w:vAlign w:val="center"/>
          </w:tcPr>
          <w:p w14:paraId="58207EFB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方向角以右方为 0°，逆时针为正，归一化到 [0°, 360°)</w:t>
            </w:r>
          </w:p>
        </w:tc>
      </w:tr>
      <w:tr w14:paraId="3F44686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DE5DAB4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5:</w:t>
            </w:r>
          </w:p>
        </w:tc>
        <w:tc>
          <w:tcPr>
            <w:tcW w:w="8504" w:type="dxa"/>
            <w:vAlign w:val="center"/>
          </w:tcPr>
          <w:p w14:paraId="6603EA67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输入 Vmin、Vmax：量程最小、最大值，Vmax &gt; Vmin，单位一致</w:t>
            </w:r>
          </w:p>
        </w:tc>
      </w:tr>
      <w:tr w14:paraId="0FAA22C5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E662257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6:</w:t>
            </w:r>
          </w:p>
        </w:tc>
        <w:tc>
          <w:tcPr>
            <w:tcW w:w="8504" w:type="dxa"/>
            <w:vAlign w:val="center"/>
          </w:tcPr>
          <w:p w14:paraId="6F404529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输出 V：仪表读数，单位与量程一致；失败时返回原因</w:t>
            </w:r>
          </w:p>
        </w:tc>
      </w:tr>
      <w:tr w14:paraId="7CBC67A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D049033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7:</w:t>
            </w:r>
          </w:p>
        </w:tc>
        <w:tc>
          <w:tcPr>
            <w:tcW w:w="8504" w:type="dxa"/>
            <w:vAlign w:val="center"/>
          </w:tcPr>
          <w:p w14:paraId="031CA396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Δθ ← (θs − θ) mod 360  // 从起点顺时针转到指针的已转角</w:t>
            </w:r>
          </w:p>
        </w:tc>
      </w:tr>
      <w:tr w14:paraId="475593E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2E1CB1C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8:</w:t>
            </w:r>
          </w:p>
        </w:tc>
        <w:tc>
          <w:tcPr>
            <w:tcW w:w="8504" w:type="dxa"/>
            <w:vAlign w:val="center"/>
          </w:tcPr>
          <w:p w14:paraId="0B39E6BD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Θ ← (θs − θe) mod 360  // 从起点顺时针转到终点的总转角</w:t>
            </w:r>
          </w:p>
        </w:tc>
      </w:tr>
      <w:tr w14:paraId="498887A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91834C7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9:</w:t>
            </w:r>
          </w:p>
        </w:tc>
        <w:tc>
          <w:tcPr>
            <w:tcW w:w="8504" w:type="dxa"/>
            <w:vAlign w:val="center"/>
          </w:tcPr>
          <w:p w14:paraId="70AD75AE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b/>
                <w:color w:val="000000"/>
                <w:szCs w:val="21"/>
              </w:rPr>
              <w:t>if</w:t>
            </w:r>
            <w:r>
              <w:rPr>
                <w:color w:val="000000"/>
                <w:szCs w:val="21"/>
              </w:rPr>
              <w:t xml:space="preserve"> Θ = 0 </w:t>
            </w:r>
            <w:r>
              <w:rPr>
                <w:b/>
                <w:color w:val="000000"/>
                <w:szCs w:val="21"/>
              </w:rPr>
              <w:t>then</w:t>
            </w:r>
          </w:p>
        </w:tc>
      </w:tr>
      <w:tr w14:paraId="02C2191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15C9CE3E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10:</w:t>
            </w:r>
          </w:p>
        </w:tc>
        <w:tc>
          <w:tcPr>
            <w:tcW w:w="8504" w:type="dxa"/>
            <w:vAlign w:val="center"/>
          </w:tcPr>
          <w:p w14:paraId="79F9E48E">
            <w:pPr>
              <w:keepNext/>
              <w:keepLines/>
              <w:snapToGrid w:val="0"/>
              <w:spacing w:line="252" w:lineRule="auto"/>
              <w:ind w:left="624"/>
              <w:jc w:val="left"/>
            </w:pPr>
            <w:r>
              <w:rPr>
                <w:b/>
                <w:color w:val="000000"/>
                <w:szCs w:val="21"/>
              </w:rPr>
              <w:t>return</w:t>
            </w:r>
            <w:r>
              <w:rPr>
                <w:color w:val="000000"/>
                <w:szCs w:val="21"/>
              </w:rPr>
              <w:t xml:space="preserve"> 标定无效  // 起止角重合，无法计算线性映射</w:t>
            </w:r>
          </w:p>
        </w:tc>
      </w:tr>
      <w:tr w14:paraId="60B6D036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B496AC8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11:</w:t>
            </w:r>
          </w:p>
        </w:tc>
        <w:tc>
          <w:tcPr>
            <w:tcW w:w="8504" w:type="dxa"/>
            <w:vAlign w:val="center"/>
          </w:tcPr>
          <w:p w14:paraId="7A927C48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b/>
                <w:color w:val="000000"/>
                <w:szCs w:val="21"/>
              </w:rPr>
              <w:t>end if</w:t>
            </w:r>
          </w:p>
        </w:tc>
      </w:tr>
      <w:tr w14:paraId="6EE004A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05EA3C6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12:</w:t>
            </w:r>
          </w:p>
        </w:tc>
        <w:tc>
          <w:tcPr>
            <w:tcW w:w="8504" w:type="dxa"/>
            <w:vAlign w:val="center"/>
          </w:tcPr>
          <w:p w14:paraId="29BDBBF2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b/>
                <w:color w:val="000000"/>
                <w:szCs w:val="21"/>
              </w:rPr>
              <w:t>if</w:t>
            </w:r>
            <w:r>
              <w:rPr>
                <w:color w:val="000000"/>
                <w:szCs w:val="21"/>
              </w:rPr>
              <w:t xml:space="preserve"> Δθ 不在 [0, Θ] 内 </w:t>
            </w:r>
            <w:r>
              <w:rPr>
                <w:b/>
                <w:color w:val="000000"/>
                <w:szCs w:val="21"/>
              </w:rPr>
              <w:t>then</w:t>
            </w:r>
          </w:p>
        </w:tc>
      </w:tr>
      <w:tr w14:paraId="356B2D37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31FA7C1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13:</w:t>
            </w:r>
          </w:p>
        </w:tc>
        <w:tc>
          <w:tcPr>
            <w:tcW w:w="8504" w:type="dxa"/>
            <w:vAlign w:val="center"/>
          </w:tcPr>
          <w:p w14:paraId="1073615F">
            <w:pPr>
              <w:keepNext/>
              <w:keepLines/>
              <w:snapToGrid w:val="0"/>
              <w:spacing w:line="252" w:lineRule="auto"/>
              <w:ind w:left="624"/>
              <w:jc w:val="left"/>
            </w:pPr>
            <w:r>
              <w:rPr>
                <w:b/>
                <w:color w:val="000000"/>
                <w:szCs w:val="21"/>
              </w:rPr>
              <w:t>return</w:t>
            </w:r>
            <w:r>
              <w:rPr>
                <w:color w:val="000000"/>
                <w:szCs w:val="21"/>
              </w:rPr>
              <w:t xml:space="preserve"> 量程外拒识  // 指针方向超出有效量程弧</w:t>
            </w:r>
          </w:p>
        </w:tc>
      </w:tr>
      <w:tr w14:paraId="16D6B527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BB25731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14:</w:t>
            </w:r>
          </w:p>
        </w:tc>
        <w:tc>
          <w:tcPr>
            <w:tcW w:w="8504" w:type="dxa"/>
            <w:vAlign w:val="center"/>
          </w:tcPr>
          <w:p w14:paraId="33C7E631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b/>
                <w:color w:val="000000"/>
                <w:szCs w:val="21"/>
              </w:rPr>
              <w:t>end if</w:t>
            </w:r>
          </w:p>
        </w:tc>
      </w:tr>
      <w:tr w14:paraId="64873D6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45F05A5B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15:</w:t>
            </w:r>
          </w:p>
        </w:tc>
        <w:tc>
          <w:tcPr>
            <w:tcW w:w="8504" w:type="dxa"/>
            <w:vAlign w:val="center"/>
          </w:tcPr>
          <w:p w14:paraId="30C72FF3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V ← Vmin + (Δθ / Θ) × (Vmax − Vmin)</w:t>
            </w:r>
          </w:p>
        </w:tc>
      </w:tr>
      <w:tr w14:paraId="535BE9A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34BF7EE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16:</w:t>
            </w:r>
          </w:p>
        </w:tc>
        <w:tc>
          <w:tcPr>
            <w:tcW w:w="8504" w:type="dxa"/>
            <w:vAlign w:val="center"/>
          </w:tcPr>
          <w:p w14:paraId="047338EF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color w:val="000000"/>
                <w:szCs w:val="21"/>
              </w:rPr>
              <w:t>// Δθ / Θ 为量程内的相对位置；V 为映射后的实际读数</w:t>
            </w:r>
          </w:p>
        </w:tc>
      </w:tr>
      <w:tr w14:paraId="359B753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81EF0A1">
            <w:pPr>
              <w:keepNext/>
              <w:keepLines/>
              <w:snapToGrid w:val="0"/>
              <w:spacing w:line="252" w:lineRule="auto"/>
              <w:jc w:val="right"/>
            </w:pPr>
            <w:r>
              <w:rPr>
                <w:color w:val="000000"/>
                <w:szCs w:val="21"/>
              </w:rPr>
              <w:t>17:</w:t>
            </w:r>
          </w:p>
        </w:tc>
        <w:tc>
          <w:tcPr>
            <w:tcW w:w="8504" w:type="dxa"/>
            <w:vAlign w:val="center"/>
          </w:tcPr>
          <w:p w14:paraId="2601FEDF">
            <w:pPr>
              <w:keepNext/>
              <w:keepLines/>
              <w:snapToGrid w:val="0"/>
              <w:spacing w:line="252" w:lineRule="auto"/>
              <w:ind w:left="312"/>
              <w:jc w:val="left"/>
            </w:pPr>
            <w:r>
              <w:rPr>
                <w:b/>
                <w:color w:val="000000"/>
                <w:szCs w:val="21"/>
              </w:rPr>
              <w:t>return</w:t>
            </w:r>
            <w:r>
              <w:rPr>
                <w:color w:val="000000"/>
                <w:szCs w:val="21"/>
              </w:rPr>
              <w:t xml:space="preserve"> V</w:t>
            </w:r>
          </w:p>
        </w:tc>
      </w:tr>
      <w:tr w14:paraId="5738B742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7EBE43E">
            <w:pPr>
              <w:keepLines/>
              <w:snapToGrid w:val="0"/>
              <w:spacing w:after="40" w:line="252" w:lineRule="auto"/>
              <w:jc w:val="right"/>
            </w:pPr>
            <w:r>
              <w:rPr>
                <w:color w:val="000000"/>
                <w:szCs w:val="21"/>
              </w:rPr>
              <w:t>18:</w:t>
            </w:r>
          </w:p>
        </w:tc>
        <w:tc>
          <w:tcPr>
            <w:tcW w:w="8504" w:type="dxa"/>
            <w:vAlign w:val="center"/>
          </w:tcPr>
          <w:p w14:paraId="1F9FF9A3">
            <w:pPr>
              <w:keepLines/>
              <w:snapToGrid w:val="0"/>
              <w:spacing w:after="40" w:line="252" w:lineRule="auto"/>
              <w:jc w:val="left"/>
            </w:pPr>
            <w:r>
              <w:rPr>
                <w:b/>
                <w:color w:val="000000"/>
                <w:szCs w:val="21"/>
              </w:rPr>
              <w:t>end procedure</w:t>
            </w:r>
          </w:p>
        </w:tc>
      </w:tr>
    </w:tbl>
    <w:p w14:paraId="35DB3F09">
      <w:pPr>
        <w:spacing w:after="60" w:line="80" w:lineRule="exact"/>
      </w:pPr>
    </w:p>
    <w:p w14:paraId="370E10DD">
      <w:r>
        <w:t>完整代码还包含旋转方向分支、角度校验、端点容差、异常输出和误差统计。标准霍夫热图独立按1°角度间隔计算；实际HoughLinesP角度分辨率为0.25°，两者不是同一个内部累加器。原始投票矩阵保存于NPZ中，可直接重绘热图。</w:t>
      </w:r>
    </w:p>
    <w:p w14:paraId="31A9CAE6">
      <w:pPr>
        <w:pStyle w:val="3"/>
        <w:pageBreakBefore/>
      </w:pPr>
      <w:bookmarkStart w:id="13" w:name="_Toc242912128"/>
      <w:r>
        <w:t>2. 关键参数设置</w:t>
      </w:r>
      <w:bookmarkEnd w:id="13"/>
    </w:p>
    <w:p w14:paraId="59D9A083">
      <w:r>
        <w:t>下表列出默认设置。除固定数值外，几何阈值采用半径 r 的比例，以减少分辨率变化带来的影响。所有实际参数及 Otsu 阈值随结果保存在 JSON 中。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1335"/>
        <w:gridCol w:w="4767"/>
      </w:tblGrid>
      <w:tr w14:paraId="230966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05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CEF9BF5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1335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F3EBBBA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默认值</w:t>
            </w:r>
          </w:p>
        </w:tc>
        <w:tc>
          <w:tcPr>
            <w:tcW w:w="4767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4B4B17B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作用及调节方向</w:t>
            </w:r>
          </w:p>
        </w:tc>
      </w:tr>
      <w:tr w14:paraId="3CFC99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1591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max_size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3762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9D71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输入最长边上限；超过时等比例缩小</w:t>
            </w:r>
          </w:p>
        </w:tc>
      </w:tr>
      <w:tr w14:paraId="1D798D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89D3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blur_kernel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320B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AE40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高斯核边长，须为正奇数</w:t>
            </w:r>
          </w:p>
        </w:tc>
      </w:tr>
      <w:tr w14:paraId="44914C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51AA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threshold_mode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C14E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otsu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B413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可选 fixed 或 adaptive</w:t>
            </w:r>
          </w:p>
        </w:tc>
      </w:tr>
      <w:tr w14:paraId="7E39B7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CE17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polarity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26F8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dark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CFA4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浅色指针改为 light</w:t>
            </w:r>
          </w:p>
        </w:tc>
      </w:tr>
      <w:tr w14:paraId="07EE70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3D14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fixed_threshold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085E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DEB7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仅固定阈值模式使用</w:t>
            </w:r>
          </w:p>
        </w:tc>
      </w:tr>
      <w:tr w14:paraId="3D3C4A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5EA9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adaptive_block / c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4C54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31 / 7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0C6E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局部阈值邻域及偏置</w:t>
            </w:r>
          </w:p>
        </w:tc>
      </w:tr>
      <w:tr w14:paraId="45495B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ACAB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close / open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F42B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 / 1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F52D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闭运算 3×3；1 表示不做开运算</w:t>
            </w:r>
          </w:p>
        </w:tc>
      </w:tr>
      <w:tr w14:paraId="2F7D46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8C24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inner / outer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0EF4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0.13 / 0.80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89BC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保留环形区域，外圈过大易引入刻度</w:t>
            </w:r>
          </w:p>
        </w:tc>
      </w:tr>
      <w:tr w14:paraId="7D8606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2567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center_tolerance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C7A0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0.10r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189F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直线到圆心距离上限</w:t>
            </w:r>
          </w:p>
        </w:tc>
      </w:tr>
      <w:tr w14:paraId="0E2143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11A4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min_line_ratio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D75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0.24r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2DBA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最短候选线段长度</w:t>
            </w:r>
          </w:p>
        </w:tc>
      </w:tr>
      <w:tr w14:paraId="1D89EC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42CB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max_gap_ratio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460E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0.06r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5E0B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允许连接的线段间隙</w:t>
            </w:r>
          </w:p>
        </w:tc>
      </w:tr>
      <w:tr w14:paraId="0F0E10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E29A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min_ray_support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183F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0.45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0D52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径向前景支持比例下限</w:t>
            </w:r>
          </w:p>
        </w:tc>
      </w:tr>
      <w:tr w14:paraId="1C95FA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29890A9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endpoint_tolerance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096767D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2°</w:t>
            </w:r>
          </w:p>
        </w:tc>
        <w:tc>
          <w:tcPr>
            <w:tcW w:w="476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F06A28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量程外靠近端点时的吸附容差</w:t>
            </w:r>
          </w:p>
        </w:tc>
      </w:tr>
    </w:tbl>
    <w:p w14:paraId="40BA9199">
      <w:pPr>
        <w:spacing w:after="60" w:line="80" w:lineRule="exact"/>
      </w:pPr>
    </w:p>
    <w:p w14:paraId="50707D43">
      <w:pPr>
        <w:pStyle w:val="3"/>
      </w:pPr>
      <w:bookmarkStart w:id="14" w:name="_Toc242912129"/>
      <w:r>
        <w:t>3. 四点标定</w:t>
      </w:r>
      <w:bookmarkEnd w:id="14"/>
    </w:p>
    <w:p w14:paraId="068255A6">
      <w:r>
        <w:t>在原图依次选择指针旋转中心、表盘外圆边缘、最小刻度位置和最大刻度位置。前两点确定圆心与半径，后两点确定量程方向角；再输入真实量程、单位和读数增大方向。圆心保存为 x/w、y/h，半径保存为 r/min(w,h)。</w:t>
      </w:r>
    </w:p>
    <w:p w14:paraId="511C80C5">
      <w:r>
        <w:t>归一化标定可用于同机位图像的等比例缩放。任意裁剪、相机旋转或透视变化均可能使标定失效，需要重新标定。勾选霍夫圆仅辅助修正圆心与半径，不会识别数字，也不能代替量程标定。[4]</w:t>
      </w:r>
    </w:p>
    <w:p w14:paraId="4D84D9A3">
      <w:pPr>
        <w:pStyle w:val="4"/>
      </w:pPr>
      <w:bookmarkStart w:id="15" w:name="sec_16"/>
      <w:r>
        <w:t>示例标定</w:t>
      </w:r>
      <w:bookmarkEnd w:id="15"/>
    </w:p>
    <w:p w14:paraId="7C9E1468">
      <w:r>
        <w:t>示例图大小 720×720，圆心 (360,360)，半径 300。最小值 0 MPa，最大值 1.6 MPa，起止角度 225° 和 315°，顺时针递增。指针朝上时 θ=90°，已转角为 135°，理论读数为 0.8 MPa。</w:t>
      </w:r>
    </w:p>
    <w:p w14:paraId="5781E3F3">
      <w:pPr>
        <w:pStyle w:val="3"/>
        <w:pageBreakBefore/>
      </w:pPr>
      <w:bookmarkStart w:id="16" w:name="_Toc242912130"/>
      <w:r>
        <w:t>4. 图形界面与操作流程</w:t>
      </w:r>
      <w:bookmarkEnd w:id="16"/>
    </w:p>
    <w:p w14:paraId="2D12B905">
      <w:pPr>
        <w:keepNext/>
        <w:spacing w:after="20"/>
        <w:jc w:val="center"/>
      </w:pPr>
      <w:r>
        <w:drawing>
          <wp:inline distT="0" distB="0" distL="114300" distR="114300">
            <wp:extent cx="5273675" cy="3591560"/>
            <wp:effectExtent l="0" t="0" r="9525" b="2540"/>
            <wp:docPr id="2" name="Picture 2" descr="图 1 Tkinter 图形界面与合成仪表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1 Tkinter 图形界面与合成仪表演示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5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C331">
      <w:pPr>
        <w:pStyle w:val="6"/>
        <w:spacing w:before="60"/>
        <w:jc w:val="center"/>
      </w:pPr>
      <w:r>
        <w:t>图 1 Tkinter界面初始版本示意 当前版本另有逐图标定批处理入口</w:t>
      </w:r>
    </w:p>
    <w:p w14:paraId="2F5D087E">
      <w:pPr>
        <w:pStyle w:val="4"/>
      </w:pPr>
      <w:bookmarkStart w:id="17" w:name="sec_18"/>
      <w:r>
        <w:t>单张识别</w:t>
      </w:r>
      <w:bookmarkEnd w:id="17"/>
    </w:p>
    <w:p w14:paraId="1F1B8D83">
      <w:r>
        <w:t>先选择图片，完成四点标定或载入对应JSON，再确认量程、单位与旋转方向。在“人工读数 可空”中只填写数值，单位应与标定一致；选择二值化方式和指针极性后点击“识别并导出各步骤”。人工值写入result.json，不写入可跨照片复用的标定JSON；换图时输入框清空。修复后的版本在算法拒识或未找到表盘圆时也保存人工值，但不生成读数或误差。</w:t>
      </w:r>
    </w:p>
    <w:p w14:paraId="7F1095DB">
      <w:pPr>
        <w:pStyle w:val="4"/>
      </w:pPr>
      <w:bookmarkStart w:id="18" w:name="sec_19"/>
      <w:r>
        <w:t>批量处理</w:t>
      </w:r>
      <w:bookmarkEnd w:id="18"/>
    </w:p>
    <w:p w14:paraId="3A51E666">
      <w:r>
        <w:t>批处理支持两种模式：同一表盘、同一机位的图片共用标定；不同照片则在“批量识别（逐图标定JSON）”中选择图片和同名JSON文件夹，例如ammeter_low.png对应ammeter_low.json。可选的同名.params.json覆盖逐图处理参数。命令行--references导入filename、manual_value参考表；GUI批处理当前没有逐张参考CSV选择入口。每图独立输出，根目录保存summary.csv和summary.json；缺标定、拒识或单张结果落盘失败均记录原因并继续。</w:t>
      </w:r>
    </w:p>
    <w:p w14:paraId="7300A9FF">
      <w:pPr>
        <w:pStyle w:val="4"/>
      </w:pPr>
      <w:bookmarkStart w:id="19" w:name="sec_20"/>
      <w:r>
        <w:t>结果复核</w:t>
      </w:r>
      <w:bookmarkEnd w:id="19"/>
    </w:p>
    <w:p w14:paraId="7B869EC2">
      <w:r>
        <w:t>先核对叠加图中的圆心、目标指针和箭头方向，再检查量程、单位与数值。status=ok只表示输出读数；拒识不等于参考值为0，不能把空误差当作零误差。历史拒识结果中未保存的人工值已从用户补充记录整理到CSV；修复只影响后续运行，不会改写历史JSON。</w:t>
      </w:r>
    </w:p>
    <w:p w14:paraId="768573E1">
      <w:pPr>
        <w:pStyle w:val="2"/>
        <w:pageBreakBefore/>
      </w:pPr>
      <w:bookmarkStart w:id="20" w:name="_Toc242912131"/>
      <w:r>
        <w:t>四、实验结果与分析</w:t>
      </w:r>
      <w:bookmarkEnd w:id="20"/>
    </w:p>
    <w:p w14:paraId="78BB853B">
      <w:pPr>
        <w:pStyle w:val="3"/>
      </w:pPr>
      <w:bookmarkStart w:id="21" w:name="_Toc242912132"/>
      <w:r>
        <w:t>1. 检测结果</w:t>
      </w:r>
      <w:bookmarkEnd w:id="21"/>
    </w:p>
    <w:p w14:paraId="4CF32A6F">
      <w:pPr>
        <w:pStyle w:val="4"/>
      </w:pPr>
      <w:bookmarkStart w:id="22" w:name="sec_23"/>
      <w:r>
        <w:t>1.1 预处理过程</w:t>
      </w:r>
      <w:bookmarkEnd w:id="22"/>
    </w:p>
    <w:p w14:paraId="27AFC3DC">
      <w:r>
        <w:t>本节保留合成样例04_middle.png的完整过程，理论读数为0.8 MPa，图中保留合成标记。真实图片结果在本章3.2节单独记录，两类数据不混合统计。</w:t>
      </w:r>
    </w:p>
    <w:p w14:paraId="1CF9991A">
      <w:pPr>
        <w:keepNext/>
        <w:spacing w:after="20"/>
        <w:jc w:val="center"/>
      </w:pPr>
      <w:r>
        <w:drawing>
          <wp:inline distT="0" distB="0" distL="114300" distR="114300">
            <wp:extent cx="5273675" cy="3602355"/>
            <wp:effectExtent l="0" t="0" r="9525" b="4445"/>
            <wp:docPr id="3" name="Picture 3" descr="图 2 输入图、灰度图、滤波图、二值图、形态学结果与环形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2 输入图、灰度图、滤波图、二值图、形态学结果与环形区域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0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4D8B">
      <w:pPr>
        <w:pStyle w:val="6"/>
        <w:spacing w:before="60"/>
        <w:jc w:val="center"/>
      </w:pPr>
      <w:r>
        <w:t>图 2 输入图、灰度图、滤波图、二值图、形态学结果与环形区域</w:t>
      </w:r>
    </w:p>
    <w:p w14:paraId="187291D5">
      <w:r>
        <w:t>该样例实际 Otsu 阈值为 160。灰度化与滤波后，深色指针、文字和刻度被同时二值化为前景。闭运算连接小缺口；环形区域进一步去除中心轴帽和外侧圆环。保留的数字仍可能形成短线段，因此后续必须结合线段长度、圆心距离和径向连续性筛选。</w:t>
      </w:r>
    </w:p>
    <w:p w14:paraId="7E516507">
      <w:r>
        <w:t>清晰合成图在滤波前后的肉眼差异较小，应结合噪声样例观察滤波作用，不能据此推断真实照片不需要滤波。单独步骤图保存在demo/demo_outputs/对应原图文件名目录中。</w:t>
      </w:r>
    </w:p>
    <w:p w14:paraId="139DB6C8">
      <w:pPr>
        <w:pStyle w:val="4"/>
      </w:pPr>
      <w:bookmarkStart w:id="23" w:name="sec_24"/>
      <w:r>
        <w:t>中间结果的排错顺序</w:t>
      </w:r>
      <w:bookmarkEnd w:id="23"/>
    </w:p>
    <w:p w14:paraId="2479C63D">
      <w:r>
        <w:t>• 指针若在二值图中消失，先检查深浅极性、阈值方式和滤波核。</w:t>
      </w:r>
    </w:p>
    <w:p w14:paraId="6EB6D2BF">
      <w:r>
        <w:t>• 若二值图可见而形态学结果消失，应减少开运算或缩小核。</w:t>
      </w:r>
    </w:p>
    <w:p w14:paraId="76BFD940">
      <w:r>
        <w:t>• 若 ROI 中仍有大量文字与刻度，检查圆心、半径和保留区域，再调霍夫条件。</w:t>
      </w:r>
    </w:p>
    <w:p w14:paraId="38FE73CC">
      <w:pPr>
        <w:pStyle w:val="4"/>
        <w:pageBreakBefore/>
      </w:pPr>
      <w:bookmarkStart w:id="24" w:name="sec_25"/>
      <w:r>
        <w:t>1.2 霍夫累加器与最终识别</w:t>
      </w:r>
      <w:bookmarkEnd w:id="24"/>
    </w:p>
    <w:p w14:paraId="14AD2337">
      <w:pPr>
        <w:keepNext/>
        <w:spacing w:after="20"/>
        <w:jc w:val="center"/>
      </w:pPr>
      <w:r>
        <w:drawing>
          <wp:inline distT="0" distB="0" distL="114300" distR="114300">
            <wp:extent cx="5273675" cy="2704465"/>
            <wp:effectExtent l="0" t="0" r="9525" b="635"/>
            <wp:docPr id="4" name="Picture 4" descr="图 3 同一边缘图独立计算的标准霍夫累加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3 同一边缘图独立计算的标准霍夫累加器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270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C11B">
      <w:pPr>
        <w:pStyle w:val="6"/>
        <w:spacing w:before="60"/>
        <w:jc w:val="center"/>
      </w:pPr>
      <w:r>
        <w:t>图 3 同一边缘图独立计算的标准霍夫累加器</w:t>
      </w:r>
    </w:p>
    <w:p w14:paraId="3CF917A1">
      <w:r>
        <w:t>横轴为法线角φ，纵轴为ρ，颜色使用log(1+票数)。新图以青色星标和虚线标出全局最高峰，文字注明法线角、ρ和原始票数；并列峰注明数量，仅标首个，全零时显示无峰。本例最高峰为φ=0°、ρ=365像素、197票，对应竖直方向的边缘证据；直线本身不区分针尖和针尾。热图是独立标准霍夫投票结果，不是HoughLinesP内部状态。</w:t>
      </w:r>
    </w:p>
    <w:p w14:paraId="3B0C47C4">
      <w:pPr>
        <w:keepNext/>
        <w:spacing w:after="20"/>
        <w:jc w:val="center"/>
      </w:pPr>
      <w:r>
        <w:drawing>
          <wp:inline distT="0" distB="0" distL="114300" distR="114300">
            <wp:extent cx="5273675" cy="2822575"/>
            <wp:effectExtent l="0" t="0" r="0" b="0"/>
            <wp:docPr id="5" name="Picture 5" descr="图 4 候选霍夫线段与最终指针读数叠加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4 候选霍夫线段与最终指针读数叠加结果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282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0098">
      <w:pPr>
        <w:pStyle w:val="6"/>
        <w:spacing w:before="60"/>
        <w:jc w:val="center"/>
      </w:pPr>
      <w:r>
        <w:t>图 4 候选霍夫线段与最终指针读数叠加结果</w:t>
      </w:r>
    </w:p>
    <w:p w14:paraId="2365B19E">
      <w:r>
        <w:t>示例最终角度为 89.6250°，识别读数 0.802222 MPa，理论值 0.8 MPa，绝对误差 0.002222 MPa，满量程误差 0.1389%。输出中红色箭头标出推断的针尖方向，绿色点标出圆心。</w:t>
      </w:r>
    </w:p>
    <w:p w14:paraId="0F5BD18B">
      <w:pPr>
        <w:pStyle w:val="3"/>
        <w:pageBreakBefore/>
      </w:pPr>
      <w:bookmarkStart w:id="25" w:name="_Toc242912133"/>
      <w:r>
        <w:t>2. 性能分析</w:t>
      </w:r>
      <w:bookmarkEnd w:id="25"/>
    </w:p>
    <w:p w14:paraId="50827E7D">
      <w:pPr>
        <w:pStyle w:val="4"/>
      </w:pPr>
      <w:bookmarkStart w:id="26" w:name="sec_27"/>
      <w:r>
        <w:t>2.1 合成样例验证</w:t>
      </w:r>
      <w:bookmarkEnd w:id="26"/>
    </w:p>
    <w:p w14:paraId="393B55B5">
      <w:r>
        <w:t>共生成 10 张 720×720 合成图，统一量程为 0～1.6 MPa。样例覆盖零点、满量程、不同指针角度以及噪声、模糊和背景亮度渐变。噪声随机种子固定为 20261012，便于复现。表中参考值为生成真值，不是人工读数。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1370"/>
        <w:gridCol w:w="1764"/>
        <w:gridCol w:w="1847"/>
        <w:gridCol w:w="1954"/>
      </w:tblGrid>
      <w:tr w14:paraId="510366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137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453C17E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样例</w:t>
            </w:r>
          </w:p>
        </w:tc>
        <w:tc>
          <w:tcPr>
            <w:tcW w:w="137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C32D638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真值 MPa</w:t>
            </w:r>
          </w:p>
        </w:tc>
        <w:tc>
          <w:tcPr>
            <w:tcW w:w="1764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550D4D9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输出 MPa</w:t>
            </w:r>
          </w:p>
        </w:tc>
        <w:tc>
          <w:tcPr>
            <w:tcW w:w="1847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9024CA4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绝对误差 MPa</w:t>
            </w:r>
          </w:p>
        </w:tc>
        <w:tc>
          <w:tcPr>
            <w:tcW w:w="1954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843182E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满量程误差 %</w:t>
            </w:r>
          </w:p>
        </w:tc>
      </w:tr>
      <w:tr w14:paraId="12E80A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F6D5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零点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2BAA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EC7B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0.000000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1BDA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0.000000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4C22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</w:t>
            </w:r>
          </w:p>
        </w:tc>
      </w:tr>
      <w:tr w14:paraId="4CFF6E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5CEE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低读数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ECF9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0.200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E370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0.196129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1243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0.003871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624D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0.2419</w:t>
            </w:r>
          </w:p>
        </w:tc>
      </w:tr>
      <w:tr w14:paraId="55F843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E228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中低读数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F7EF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0.640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7AA1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0.643465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6248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0.003465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5256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0.2166</w:t>
            </w:r>
          </w:p>
        </w:tc>
      </w:tr>
      <w:tr w14:paraId="5BBFA4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373D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中间读数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0635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0.800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FBEB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0.802222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488F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0.002222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62ED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0.1389</w:t>
            </w:r>
          </w:p>
        </w:tc>
      </w:tr>
      <w:tr w14:paraId="2FB826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23D3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高读数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4352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1.200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8443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1.203238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E593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0.003238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134E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0.2024</w:t>
            </w:r>
          </w:p>
        </w:tc>
      </w:tr>
      <w:tr w14:paraId="195500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7755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满量程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CB47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1.600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30AE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1.600000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4F33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0.000000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3558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</w:t>
            </w:r>
          </w:p>
        </w:tc>
      </w:tr>
      <w:tr w14:paraId="69A310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09F2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噪声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7B67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1.120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F34A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1.120225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4444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0.000225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B846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0.0140</w:t>
            </w:r>
          </w:p>
        </w:tc>
      </w:tr>
      <w:tr w14:paraId="026F87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DCBD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模糊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26EF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0.320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7F4D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0.319760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8A04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0.000240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A1BF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0.0150</w:t>
            </w:r>
          </w:p>
        </w:tc>
      </w:tr>
      <w:tr w14:paraId="598DF7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D4EB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亮度渐变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215A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4AD1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0.960263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09C9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0.000263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31CA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0.0164</w:t>
            </w:r>
          </w:p>
        </w:tc>
      </w:tr>
      <w:tr w14:paraId="40E8A6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365F86E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跨零点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09C68D0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1.440</w:t>
            </w:r>
          </w:p>
        </w:tc>
        <w:tc>
          <w:tcPr>
            <w:tcW w:w="176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211E1CB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1.439239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B406F0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0.000761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1F00B2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0.0475</w:t>
            </w:r>
          </w:p>
        </w:tc>
      </w:tr>
    </w:tbl>
    <w:p w14:paraId="3837BE48">
      <w:pPr>
        <w:spacing w:after="60" w:line="80" w:lineRule="exact"/>
      </w:pPr>
    </w:p>
    <w:p w14:paraId="4D8B9D68">
      <w:r>
        <w:t>10 张合成图均完成识别，平均绝对误差为 0.001428 MPa，最大满量程误差为 0.2419%。该结果受限于统一表盘、已知准确标定和有限干扰设置；样本之间高度相关，不能将 10/10 解读为真实照片准确率或统计置信度。</w:t>
      </w:r>
    </w:p>
    <w:p w14:paraId="0022830A">
      <w:pPr>
        <w:pStyle w:val="4"/>
      </w:pPr>
      <w:bookmarkStart w:id="27" w:name="sec_28"/>
      <w:r>
        <w:t>2.2 关键边界验证</w:t>
      </w:r>
      <w:bookmarkEnd w:id="27"/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5780"/>
        <w:gridCol w:w="1096"/>
      </w:tblGrid>
      <w:tr w14:paraId="01DD98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3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709CB75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类别</w:t>
            </w:r>
          </w:p>
        </w:tc>
        <w:tc>
          <w:tcPr>
            <w:tcW w:w="578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DCF2384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检验内容</w:t>
            </w:r>
          </w:p>
        </w:tc>
        <w:tc>
          <w:tcPr>
            <w:tcW w:w="1096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E926946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结果</w:t>
            </w:r>
          </w:p>
        </w:tc>
      </w:tr>
      <w:tr w14:paraId="5AF3D5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2235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角度映射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33BE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顺/逆时针、跨零点、端点与量程外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E796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通过</w:t>
            </w:r>
          </w:p>
        </w:tc>
      </w:tr>
      <w:tr w14:paraId="65EA86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1713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无效输入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16A3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无效标定、无指针与多方向歧义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4263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通过</w:t>
            </w:r>
          </w:p>
        </w:tc>
      </w:tr>
      <w:tr w14:paraId="3BA62F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71F7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定位与极性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EE3D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合成霍夫圆、暗针与亮针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746D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通过</w:t>
            </w:r>
          </w:p>
        </w:tc>
      </w:tr>
      <w:tr w14:paraId="4786B1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EE95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批处理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9A57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逐图匹配、参数覆盖、坏图与写入失败隔离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E76F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通过</w:t>
            </w:r>
          </w:p>
        </w:tc>
      </w:tr>
      <w:tr w14:paraId="19F7ED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CD36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参考值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7F17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拒识/找圆失败保留人工值，0及有限性校验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809A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通过</w:t>
            </w:r>
          </w:p>
        </w:tc>
      </w:tr>
      <w:tr w14:paraId="7214F0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904F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图形界面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1245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逐图目录调用、取消操作、隐藏窗口初始化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C13E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通过</w:t>
            </w:r>
          </w:p>
        </w:tc>
      </w:tr>
      <w:tr w14:paraId="50657B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286C2DD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霍夫可视化</w:t>
            </w:r>
          </w:p>
        </w:tc>
        <w:tc>
          <w:tcPr>
            <w:tcW w:w="578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9272DF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原始峰值坐标、并列峰与全零数据</w:t>
            </w:r>
          </w:p>
        </w:tc>
        <w:tc>
          <w:tcPr>
            <w:tcW w:w="109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4F1AC0D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通过</w:t>
            </w:r>
          </w:p>
        </w:tc>
      </w:tr>
    </w:tbl>
    <w:p w14:paraId="604E5D46">
      <w:pPr>
        <w:spacing w:after="60" w:line="80" w:lineRule="exact"/>
      </w:pPr>
    </w:p>
    <w:p w14:paraId="395D2DE8">
      <w:r>
        <w:t>当前回归测试共40项：algorithm_verify.py的13项算法边界测试、test_batch_sequence_match.py的24项批处理与GUI测试、test_heatmap.py的3项峰值标注测试，均通过。除原有角度、针尖定向和坏图隔离外，新增拒识保留人工值、找圆失败记录、单张写入失败继续处理、参考值有限性和最高峰标注检查。这些测试证明构造情形符合预期，不保证真实场景的所有失败模式均能被识别。</w:t>
      </w:r>
    </w:p>
    <w:p w14:paraId="46B6F133">
      <w:pPr>
        <w:pStyle w:val="3"/>
        <w:pageBreakBefore/>
      </w:pPr>
      <w:bookmarkStart w:id="28" w:name="_Toc242912134"/>
      <w:r>
        <w:t>3. 误差分析与真实实验记录</w:t>
      </w:r>
      <w:bookmarkEnd w:id="28"/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3015"/>
        <w:gridCol w:w="3682"/>
      </w:tblGrid>
      <w:tr w14:paraId="48E4D1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9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3501C26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误差来源</w:t>
            </w:r>
          </w:p>
        </w:tc>
        <w:tc>
          <w:tcPr>
            <w:tcW w:w="3015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354C9D9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影响</w:t>
            </w:r>
          </w:p>
        </w:tc>
        <w:tc>
          <w:tcPr>
            <w:tcW w:w="3682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6D08756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改进方法</w:t>
            </w:r>
          </w:p>
        </w:tc>
      </w:tr>
      <w:tr w14:paraId="7E86F2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9AEE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圆心或端点标定偏差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6AE7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整体角度或量程映射发生偏移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055C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放大图像选点，多次独立标定并比较</w:t>
            </w:r>
          </w:p>
        </w:tc>
      </w:tr>
      <w:tr w14:paraId="6D67BB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9CD9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霍夫线段及像素量化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FF5F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针边缘与中轴不同，形成角度偏差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CBB3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提高有效分辨率，结合针体拟合中轴</w:t>
            </w:r>
          </w:p>
        </w:tc>
      </w:tr>
      <w:tr w14:paraId="42ECBD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E3F8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阴影及反光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749C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指针断裂或背景被判为前景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5175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优先改善照明，再调局部阈值</w:t>
            </w:r>
          </w:p>
        </w:tc>
      </w:tr>
      <w:tr w14:paraId="597B76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B8BC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文字与刻度干扰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E76A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产生伪候选方向或误检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B06A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调整 ROI，结合长度和连续性约束</w:t>
            </w:r>
          </w:p>
        </w:tc>
      </w:tr>
      <w:tr w14:paraId="54B25A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86FA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斜拍及视差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0376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圆形变椭圆，线性角度假设失效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A4D4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固定正视机位，必要时先做透视校正</w:t>
            </w:r>
          </w:p>
        </w:tc>
      </w:tr>
      <w:tr w14:paraId="0138FA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938819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人工参考读数不确定</w:t>
            </w:r>
          </w:p>
        </w:tc>
        <w:tc>
          <w:tcPr>
            <w:tcW w:w="301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67CFB93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比较结果包含参考误差</w:t>
            </w:r>
          </w:p>
        </w:tc>
        <w:tc>
          <w:tcPr>
            <w:tcW w:w="3682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27018AD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记录最小分度和估读依据，多人复核</w:t>
            </w:r>
          </w:p>
        </w:tc>
      </w:tr>
    </w:tbl>
    <w:p w14:paraId="01FD653B">
      <w:pPr>
        <w:spacing w:after="60" w:line="80" w:lineRule="exact"/>
      </w:pPr>
    </w:p>
    <w:p w14:paraId="71213397">
      <w:r>
        <w:t>当前方法依赖标定和外观条件。真实数据已出现多指针、强反光、低对比度和非线性刻度问题；改进应针对这些失败原因选择指针分割、针体中轴拟合、透视校正或分段插值。不能通过单纯降低拒识阈值或扩大ROI来宣称准确率提升。</w:t>
      </w:r>
    </w:p>
    <w:p w14:paraId="21C5252C">
      <w:pPr>
        <w:pStyle w:val="4"/>
      </w:pPr>
      <w:bookmarkStart w:id="29" w:name="sec_30"/>
      <w:r>
        <w:t>3.1 误差指标</w:t>
      </w:r>
      <w:bookmarkEnd w:id="29"/>
    </w:p>
    <w:p w14:paraId="232FD723">
      <w:pPr>
        <w:spacing w:before="80" w:after="160" w:line="480" w:lineRule="atLeast"/>
        <w:jc w:val="center"/>
      </w:pPr>
      <m:oMathPara>
        <m:oMath>
          <m:r>
            <m:rPr/>
            <w:rPr>
              <w:rFonts w:ascii="Cambria Math" w:hAnsi="Cambria Math"/>
            </w:rPr>
            <m:t xml:space="preserve">e = R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ref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;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abs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= |e|</m:t>
          </m:r>
        </m:oMath>
      </m:oMathPara>
    </w:p>
    <w:p w14:paraId="7D5D1E7F">
      <w:pPr>
        <w:spacing w:before="80" w:after="160" w:line="480" w:lineRule="atLeast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FS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|e|</m:t>
              </m:r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 −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 xml:space="preserve"> × 100%</m:t>
          </m:r>
        </m:oMath>
      </m:oMathPara>
    </w:p>
    <w:p w14:paraId="7867E498">
      <w:r>
        <w:t>相对误差为|e|/|Rref|×100%，参考值为0时不定义；MAE只对同单位、同评价口径且有参考值的成功样本求平均。输出率为有读数图片数/总图片数，拒识数另列。若需要“准确率”，应先给定容许误差，再统计满足阈值的比例；本次未事先约定统一验收阈值，因此不报告容差内合格率。</w:t>
      </w:r>
    </w:p>
    <w:p w14:paraId="44B9A22A">
      <w:pPr>
        <w:pStyle w:val="4"/>
      </w:pPr>
      <w:bookmarkStart w:id="30" w:name="sec_31"/>
      <w:r>
        <w:t>3.2 真实图片实验记录</w:t>
      </w:r>
      <w:bookmarkEnd w:id="30"/>
    </w:p>
    <w:p w14:paraId="208F0458">
      <w:r>
        <w:t>本次记录10张真实仪表外观图片，按文件名加载各自标定，并沿用单张GUI保存的指针极性等参数。图片出处、拍摄设备和原始机位未随数据提供，不能称为现场采集或独立测试集。人工参考值中6项来自成功结果JSON，另外4项由用户补充，保存在manual_readings_extracted.csv；后4项单位尚未逐一确认。下表沿用原始记录，不擅自更改单位或将存疑样例删除。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370"/>
        <w:gridCol w:w="1370"/>
        <w:gridCol w:w="1787"/>
        <w:gridCol w:w="2526"/>
      </w:tblGrid>
      <w:tr w14:paraId="0144A0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1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9A66AB4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照片编号</w:t>
            </w:r>
          </w:p>
        </w:tc>
        <w:tc>
          <w:tcPr>
            <w:tcW w:w="137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05840D9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人工读数</w:t>
            </w:r>
          </w:p>
        </w:tc>
        <w:tc>
          <w:tcPr>
            <w:tcW w:w="137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4BCAD49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自动读数</w:t>
            </w:r>
          </w:p>
        </w:tc>
        <w:tc>
          <w:tcPr>
            <w:tcW w:w="1787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5508516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满量程误差</w:t>
            </w:r>
          </w:p>
        </w:tc>
        <w:tc>
          <w:tcPr>
            <w:tcW w:w="2526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D0E8658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状态或原因</w:t>
            </w:r>
          </w:p>
        </w:tc>
      </w:tr>
      <w:tr w14:paraId="02DAD4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5BA7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R01 电流表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FCFB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1367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7.9804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24A1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0.4902%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23C2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输出；单位存疑</w:t>
            </w:r>
          </w:p>
        </w:tc>
      </w:tr>
      <w:tr w14:paraId="5C6D3F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4CFE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R02 破损表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9D0E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3.9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1016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未输出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0405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FF9C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拒识：无足够直线</w:t>
            </w:r>
          </w:p>
        </w:tc>
      </w:tr>
      <w:tr w14:paraId="3E8194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92BC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R03 玻璃表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1473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6AFB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未输出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224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BF8B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拒识：方向歧义</w:t>
            </w:r>
          </w:p>
        </w:tc>
      </w:tr>
      <w:tr w14:paraId="66112D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1E45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R04 低压表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1F68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BB53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3075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0.0000%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CABA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输出</w:t>
            </w:r>
          </w:p>
        </w:tc>
      </w:tr>
      <w:tr w14:paraId="7A72CA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7DA8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R05 中压表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74E8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C509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1.5394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C3F2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1.5158%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022C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输出</w:t>
            </w:r>
          </w:p>
        </w:tc>
      </w:tr>
      <w:tr w14:paraId="7F5049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A7E7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R06 车用表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1DE5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A896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149.1437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6862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4.5718%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4FCB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输出；量程待核</w:t>
            </w:r>
          </w:p>
        </w:tc>
      </w:tr>
      <w:tr w14:paraId="714FA8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A575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R07 非线性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48EF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DCA6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582.2544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B03D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40.9495%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E7BC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输出；模型不适用</w:t>
            </w:r>
          </w:p>
        </w:tc>
      </w:tr>
      <w:tr w14:paraId="21F928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E73A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R08 红针表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6F3A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F2E4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未输出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F525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72A9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拒识：方向歧义</w:t>
            </w:r>
          </w:p>
        </w:tc>
      </w:tr>
      <w:tr w14:paraId="56268D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4AAC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R09 压力表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8E17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DB92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未输出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4751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DCE0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拒识：前景不足</w:t>
            </w:r>
          </w:p>
        </w:tc>
      </w:tr>
      <w:tr w14:paraId="14B6FC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200F845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R10 亮针表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0E5444A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2.9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1DADF6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3.1745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4BA8F9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3.4318%</w:t>
            </w:r>
          </w:p>
        </w:tc>
        <w:tc>
          <w:tcPr>
            <w:tcW w:w="252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422C39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输出；单位/倍率待核</w:t>
            </w:r>
          </w:p>
        </w:tc>
      </w:tr>
    </w:tbl>
    <w:p w14:paraId="4B1123D3">
      <w:pPr>
        <w:spacing w:after="60" w:line="80" w:lineRule="exact"/>
      </w:pPr>
    </w:p>
    <w:p w14:paraId="6B9843CB">
      <w:r>
        <w:t>记录与单位说明：R01=ammeter_low.png、R02=barometer_broken.png、R03=barometer_glass.png、R04=barometer_low.png、R05=barometer_mid.png、R06=cargauge.png、R07=gauge_nonlinear.png、R08=gauge_squad_red.png、R09=pressuregauge_low.png、R10=speedgauge.png。数字沿用原始JSON/CSV：R01原记mV但图面标A，R02/R04/R05为bar，R03为psi，R06/R10原记km/h但量程、单位或倍率依据不足，R07/R08为A，R09原记A但图面为压力双刻度，需先核对再解释误差。R02/R03/R08/R09的参考值为用户后补，单位未确认。</w:t>
      </w:r>
    </w:p>
    <w:p w14:paraId="4B6DC366">
      <w:r>
        <w:t>关闭霍夫圆时6/10张输出读数、4/10张拒识，输出率为60%，不是准确率。6张输出样例的绝对差分别为R01 0.9804（原记mV）、R04 0 bar、R05 0.0606 bar、R06 9.1437（原记km/h）、R07 442.2544 A、R10 0.2745（原记km/h）。存疑单位只作为原记录差值，不作有效物理误差结论；失败行的误差为空，不按0处理。</w:t>
      </w:r>
    </w:p>
    <w:p w14:paraId="4CEDF53F">
      <w:pPr>
        <w:keepNext/>
        <w:spacing w:after="20"/>
        <w:jc w:val="center"/>
      </w:pPr>
      <w:r>
        <w:drawing>
          <wp:inline distT="0" distB="0" distL="114300" distR="114300">
            <wp:extent cx="5273675" cy="2347595"/>
            <wp:effectExtent l="0" t="0" r="9525" b="635"/>
            <wp:docPr id="102" name="真实样例barometer_mid候选线段与读数" descr="真实样例barometer_mid候选线段与读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真实样例barometer_mid候选线段与读数" descr="真实样例barometer_mid候选线段与读数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4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5FE1">
      <w:pPr>
        <w:pStyle w:val="6"/>
        <w:spacing w:before="60"/>
        <w:jc w:val="center"/>
      </w:pPr>
      <w:r>
        <w:t>图 5 真实外观样例barometer_mid的候选线段与读数</w:t>
      </w:r>
    </w:p>
    <w:p w14:paraId="23F92D75">
      <w:r>
        <w:t>R05人工参考值为1.6 bar，关闭霍夫圆输出1.539368 bar，绝对误差0.060632 bar，满量程误差1.5158%。候选图可见沿针体两侧的长线段，也有文字形成的短线段；圆心和径向支持约束用于排除后者。该图支持率为1.000，但读数仍有误差，说明支持率不能解释为正确概率。</w:t>
      </w:r>
    </w:p>
    <w:p w14:paraId="29519881">
      <w:pPr>
        <w:pStyle w:val="4"/>
      </w:pPr>
      <w:r>
        <w:t>3.3 霍夫圆开关对照</w:t>
      </w:r>
    </w:p>
    <w:p w14:paraId="3A544CC7">
      <w:r>
        <w:t>两组使用同一原图、逐图标定、原GUI处理参数和参考值，仅改变--auto-circle；暗针/亮针参数不统一强设。对照记录保存在experiments/experiments_circle_comparison/，off与on分别表示关闭和开启。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370"/>
        <w:gridCol w:w="1370"/>
        <w:gridCol w:w="1787"/>
        <w:gridCol w:w="2526"/>
      </w:tblGrid>
      <w:tr w14:paraId="62FB9A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1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F1245CF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照片编号</w:t>
            </w:r>
          </w:p>
        </w:tc>
        <w:tc>
          <w:tcPr>
            <w:tcW w:w="137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B0CF609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关闭读数</w:t>
            </w:r>
          </w:p>
        </w:tc>
        <w:tc>
          <w:tcPr>
            <w:tcW w:w="137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B4776F6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开启读数</w:t>
            </w:r>
          </w:p>
        </w:tc>
        <w:tc>
          <w:tcPr>
            <w:tcW w:w="1787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4FAB7DFA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人工参考</w:t>
            </w:r>
          </w:p>
        </w:tc>
        <w:tc>
          <w:tcPr>
            <w:tcW w:w="2526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10CCC05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对照观察</w:t>
            </w:r>
          </w:p>
        </w:tc>
      </w:tr>
      <w:tr w14:paraId="0EE7C4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E6EC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R01 电流表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CB10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7.9804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0CA4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D43C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F4E9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开启后拒识</w:t>
            </w:r>
          </w:p>
        </w:tc>
      </w:tr>
      <w:tr w14:paraId="090A9C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BE8B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R02 破损表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C51B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6F05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FB2F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3.9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19AC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两组均拒识</w:t>
            </w:r>
          </w:p>
        </w:tc>
      </w:tr>
      <w:tr w14:paraId="488346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6AC8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R03 玻璃表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5255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7195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4973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A0D0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两组均拒识</w:t>
            </w:r>
          </w:p>
        </w:tc>
      </w:tr>
      <w:tr w14:paraId="54DD5C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037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R04 低压表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EB0A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C7D7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5327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EC87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均输出；误差相同</w:t>
            </w:r>
          </w:p>
        </w:tc>
      </w:tr>
      <w:tr w14:paraId="7334E3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5966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R05 中压表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86B9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1.5394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3C50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1.5290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AD3F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39C6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开启后绝对差增大</w:t>
            </w:r>
          </w:p>
        </w:tc>
      </w:tr>
      <w:tr w14:paraId="026207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F5B2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R06 车用表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807C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149.1437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F7B1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152.4522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20FB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21B6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开启后绝对差增大</w:t>
            </w:r>
          </w:p>
        </w:tc>
      </w:tr>
      <w:tr w14:paraId="29AC20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A0B23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R07 非线性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A03A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582.2544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EDA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EF6B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C66B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开启后拒识</w:t>
            </w:r>
          </w:p>
        </w:tc>
      </w:tr>
      <w:tr w14:paraId="4564E8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6F38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R08 红针表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8991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50F0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E179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C07D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两组均拒识</w:t>
            </w:r>
          </w:p>
        </w:tc>
      </w:tr>
      <w:tr w14:paraId="152188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4787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R09 压力表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F0FB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B34E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31.6486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85B3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FADF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开启后输出；单位待核</w:t>
            </w:r>
          </w:p>
        </w:tc>
      </w:tr>
      <w:tr w14:paraId="66F5A0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1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4280E03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R10 亮针表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6525968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3.1745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6E0BE9D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拒识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A16DD8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2.9</w:t>
            </w:r>
          </w:p>
        </w:tc>
        <w:tc>
          <w:tcPr>
            <w:tcW w:w="252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3A3D912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开启后拒识</w:t>
            </w:r>
          </w:p>
        </w:tc>
      </w:tr>
    </w:tbl>
    <w:p w14:paraId="78140A88">
      <w:r>
        <w:t>关闭6张、开启4张输出。R04均为0；R05绝对误差由0.060632增至0.071009 bar；R06原记差由9.1437增至12.4522。R09开启后输出31.6486（单位待核）；R01、R07、R10开启后拒识。霍夫圆不识别量程或单位，开启不一定改善读数。</w:t>
      </w:r>
    </w:p>
    <w:p w14:paraId="33E4EBB5">
      <w:pPr>
        <w:pStyle w:val="2"/>
        <w:pageBreakBefore/>
      </w:pPr>
      <w:bookmarkStart w:id="31" w:name="_Toc242912135"/>
      <w:r>
        <w:t>五、实验总结</w:t>
      </w:r>
      <w:bookmarkEnd w:id="31"/>
    </w:p>
    <w:p w14:paraId="70335299">
      <w:pPr>
        <w:pStyle w:val="3"/>
      </w:pPr>
      <w:bookmarkStart w:id="32" w:name="_Toc242912136"/>
      <w:r>
        <w:t>1. 实验收获</w:t>
      </w:r>
      <w:bookmarkEnd w:id="32"/>
    </w:p>
    <w:p w14:paraId="7BF49B3C">
      <w:r>
        <w:t>本实验将灰度化、滤波、二值化、形态学、概率霍夫直线、针尖定向、角度标定与读数导出串成可复现流程。输出保留中间图、标准霍夫累加器、最高峰标注、指针叠加图及实际参数，可从结果回溯到预处理或标定环节。</w:t>
      </w:r>
    </w:p>
    <w:p w14:paraId="71F43D1D">
      <w:r>
        <w:t>10张合成图的既有验证记录显示MAE为0.001428 MPa、最大满量程误差为0.2419%；当前40项回归测试通过。10张真实外观图片中，关闭霍夫圆有6张输出读数、开启有4张；非线性样例虽输出但误差很大，说明“有结果”不能替代“结果正确”。不同仪表的绝对误差带有不同单位，不能混合求平均。</w:t>
      </w:r>
    </w:p>
    <w:p w14:paraId="41D9662A">
      <w:pPr>
        <w:pStyle w:val="3"/>
      </w:pPr>
      <w:bookmarkStart w:id="33" w:name="_Toc242912137"/>
      <w:r>
        <w:t>2. 技术亮点与改进方向</w:t>
      </w:r>
      <w:bookmarkEnd w:id="33"/>
    </w:p>
    <w:p w14:paraId="4C313100">
      <w:r>
        <w:t>本实现区分霍夫法线角、直线方向和针尖有向角；通过双向径向支持、圆心约束、跨零度映射和端点校验筛选结果。GUI支持四点标定及两种批处理模式；人工读数在拒识时保留，单张写入失败记入汇总并继续，降低结果记录丢失对实验追溯的影响。</w:t>
      </w:r>
    </w:p>
    <w:p w14:paraId="16319B61">
      <w:r>
        <w:t>后续首先核对数据来源、表盘单位、倍率和人工参考值，再划分调参与评价样本。对反光和细针改进分割及中轴拟合，对非线性刻度增加多个刻度点的分段映射，对同图多表增加表盘定位、逐表标定与结果关联。目前多表自动定位、OCR量程识别、透视校正和视频连续识别均未实现，不作为本次实验成果。</w:t>
      </w:r>
    </w:p>
    <w:p w14:paraId="08228B91">
      <w:pPr>
        <w:pStyle w:val="3"/>
      </w:pPr>
      <w:bookmarkStart w:id="34" w:name="_Toc242912138"/>
      <w:r>
        <w:t>3. 应用前景</w:t>
      </w:r>
      <w:bookmarkEnd w:id="34"/>
    </w:p>
    <w:p w14:paraId="3050FD6A">
      <w:r>
        <w:t>在固定机位、照明清晰且标定可靠时，该流程可作为巡检读数记录和教学演示的基础。用于实际监测前，仍需完成电力场景、多仪表、单位校验、容差评定及拒识后人工复核验证。本次混合类型图片只用于说明算法行为及失效原因，不能据此推断现场监测性能。</w:t>
      </w:r>
    </w:p>
    <w:p w14:paraId="2E1686C7">
      <w:pPr>
        <w:pStyle w:val="3"/>
      </w:pPr>
      <w:bookmarkStart w:id="35" w:name="_Toc242912139"/>
      <w:r>
        <w:t>4. 问题与讨论</w:t>
      </w:r>
      <w:bookmarkEnd w:id="35"/>
    </w:p>
    <w:p w14:paraId="313D4DC5">
      <w:r>
        <w:t>（1）为什么有亮峰仍会拒识：热图投票只表示直线存在，不能确定目标、针尖端或量程。玻璃表、红针表存在多个强方向；应先核对目标指针和二值图，不宜仅降低阈值强制输出。</w:t>
      </w:r>
    </w:p>
    <w:p w14:paraId="17DD515D">
      <w:r>
        <w:t>（2）为什么非线性表输出偏差很大：R07将不均匀刻度套入两端点线性映射，参考140 A时输出582.2544 A。解决方向是增加刻度点并按区段插值或建立刻度曲线，而非只修正霍夫圆。</w:t>
      </w:r>
    </w:p>
    <w:p w14:paraId="20872B9D">
      <w:r>
        <w:t>（3）如何避免人工值丢失与批次中断：早期拒识分支未保存manual_value，现已将人工值写入失败记录；误差仍只在输出读数后计算。单张结果落盘异常写入汇总的write_error并继续下一张，批次根目录需可写。历史结果不自动回填，后补值保存在参考CSV。</w:t>
      </w:r>
    </w:p>
    <w:p w14:paraId="7CA0DCCE">
      <w:pPr>
        <w:pStyle w:val="2"/>
        <w:pageBreakBefore/>
      </w:pPr>
      <w:bookmarkStart w:id="36" w:name="_Toc242912140"/>
      <w:r>
        <w:t>六、附录</w:t>
      </w:r>
      <w:bookmarkEnd w:id="36"/>
    </w:p>
    <w:p w14:paraId="4243C292">
      <w:pPr>
        <w:pStyle w:val="3"/>
      </w:pPr>
      <w:bookmarkStart w:id="37" w:name="_Toc242912141"/>
      <w:r>
        <w:t>1. 完整代码与运行方法</w:t>
      </w:r>
      <w:bookmarkEnd w:id="37"/>
    </w:p>
    <w:p w14:paraId="3C8C3F12">
      <w:r>
        <w:t>完整Python代码随项目保留；正文的程序框图、伪代码及关键调用说明七个处理步骤，实际执行以对应.py文件为准。当前源文件已补充算法、坐标、参数和异常处理注释，便于阅读与复现。主要文件如下。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4"/>
        <w:gridCol w:w="4372"/>
      </w:tblGrid>
      <w:tr w14:paraId="7037A7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34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B5C5BD2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文件</w:t>
            </w:r>
          </w:p>
        </w:tc>
        <w:tc>
          <w:tcPr>
            <w:tcW w:w="4372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13B6FAA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功能</w:t>
            </w:r>
          </w:p>
        </w:tc>
      </w:tr>
      <w:tr w14:paraId="2BB267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74B7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core.py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61A79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预处理、定向、映射、人工值与结果导出</w:t>
            </w:r>
          </w:p>
        </w:tc>
      </w:tr>
      <w:tr w14:paraId="0D3E1F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6A7C5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gauge_reader.py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F3557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命令行、共用/逐图标定批处理与汇总</w:t>
            </w:r>
          </w:p>
        </w:tc>
      </w:tr>
      <w:tr w14:paraId="268DB4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583E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gui.py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133D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Tkinter界面、四点标定和两种批处理</w:t>
            </w:r>
          </w:p>
        </w:tc>
      </w:tr>
      <w:tr w14:paraId="0A382C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0B8A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demo_gauge_simulator.py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9A4E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固定种子合成图片及真值表</w:t>
            </w:r>
          </w:p>
        </w:tc>
      </w:tr>
      <w:tr w14:paraId="4D1D80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E69F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algorithm_verify.py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4D5D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13项算法边界检查与完整合成验证</w:t>
            </w:r>
          </w:p>
        </w:tc>
      </w:tr>
      <w:tr w14:paraId="6A7792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4CF2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test_batch_sequence_match.py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CD441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24项批处理、参数、异常及GUI测试</w:t>
            </w:r>
          </w:p>
        </w:tc>
      </w:tr>
      <w:tr w14:paraId="60CC4C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A925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test_heatmap.py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C9C12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3项最高峰、并列峰及全零图测试</w:t>
            </w:r>
          </w:p>
        </w:tc>
      </w:tr>
      <w:tr w14:paraId="415964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3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8A0F02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requirements.txt / README.md</w:t>
            </w:r>
          </w:p>
        </w:tc>
        <w:tc>
          <w:tcPr>
            <w:tcW w:w="4372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128B29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依赖清单与运行说明</w:t>
            </w:r>
          </w:p>
        </w:tc>
      </w:tr>
    </w:tbl>
    <w:p w14:paraId="1D5FAB3A">
      <w:pPr>
        <w:spacing w:after="60" w:line="80" w:lineRule="exact"/>
      </w:pPr>
    </w:p>
    <w:p w14:paraId="7A389081">
      <w:pPr>
        <w:pStyle w:val="4"/>
      </w:pPr>
      <w:bookmarkStart w:id="38" w:name="sec_38"/>
      <w:r>
        <w:t>环境与入口</w:t>
      </w:r>
      <w:bookmarkEnd w:id="38"/>
    </w:p>
    <w:p w14:paraId="670CAD28">
      <w:r>
        <w:t>本次本地复核环境为Windows 11、Python 3.12.10、OpenCV 4.12.0、NumPy 2.2.6、Pillow 12.3.0、Matplotlib 3.11.2、Tk 8.6。硬件为Intel Core i9-14900HX（系统信息报告2200 MHz），系统可见内存约31.6 GB。核心计算使用CPU，无需GPU、模型权重或训练数据。verification.json中的Python 3.12.14、Matplotlib 3.10.8属于早期合成验证快照，不代表当前安装环境。[5]</w:t>
      </w:r>
    </w:p>
    <w:p w14:paraId="6C5BC0F4">
      <w:pPr>
        <w:pStyle w:val="16"/>
        <w:keepNext/>
      </w:pPr>
      <w:r>
        <w:t>.\.venv\Scripts\python.exe -m pip install -r requirements.txt</w:t>
      </w:r>
    </w:p>
    <w:p w14:paraId="17064049">
      <w:pPr>
        <w:pStyle w:val="16"/>
        <w:keepNext/>
      </w:pPr>
      <w:r>
        <w:t>.\.venv\Scripts\python.exe gui.py</w:t>
      </w:r>
    </w:p>
    <w:p w14:paraId="65DCFCDF">
      <w:pPr>
        <w:pStyle w:val="16"/>
      </w:pPr>
      <w:r>
        <w:t>.\.venv\Scripts\python.exe -m unittest test_heatmap test_batch_sequence_match algorithm_verify.BoundaryTests -q</w:t>
      </w:r>
    </w:p>
    <w:p w14:paraId="69DDD45F">
      <w:pPr>
        <w:spacing w:after="60" w:line="80" w:lineRule="exact"/>
      </w:pPr>
    </w:p>
    <w:p w14:paraId="7E2926C9">
      <w:r>
        <w:t>在项目根目录运行下列命令查看参数。逐图批处理使用--calibration-dir，参考值CSV使用--references；真实图片不能直接套用示例量程。完整合成验证入口现为algorithm_verify.py，运行会重新生成demo_data、demo_outputs和verification.json；它不自动生成真实图片评价报告。</w:t>
      </w:r>
    </w:p>
    <w:p w14:paraId="0BC1EAE7">
      <w:pPr>
        <w:pStyle w:val="16"/>
        <w:keepNext/>
      </w:pPr>
      <w:r>
        <w:t>python gauge_reader.py read --help</w:t>
      </w:r>
    </w:p>
    <w:p w14:paraId="295D5964">
      <w:pPr>
        <w:pStyle w:val="16"/>
      </w:pPr>
      <w:r>
        <w:t>python gauge_reader.py batch --help</w:t>
      </w:r>
    </w:p>
    <w:p w14:paraId="7D3B1104">
      <w:pPr>
        <w:spacing w:after="60" w:line="80" w:lineRule="exact"/>
      </w:pPr>
    </w:p>
    <w:p w14:paraId="5E08AF6D">
      <w:pPr>
        <w:pStyle w:val="3"/>
        <w:pageBreakBefore/>
      </w:pPr>
      <w:bookmarkStart w:id="39" w:name="_Toc242912142"/>
      <w:r>
        <w:t>2. 关键函数说明</w:t>
      </w:r>
      <w:bookmarkEnd w:id="39"/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5100"/>
      </w:tblGrid>
      <w:tr w14:paraId="13E1A7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06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E3ED4DF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函数或入口</w:t>
            </w:r>
          </w:p>
        </w:tc>
        <w:tc>
          <w:tcPr>
            <w:tcW w:w="5100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B79348C">
            <w:pPr>
              <w:keepNext/>
              <w:keepLines/>
              <w:snapToGrid w:val="0"/>
              <w:spacing w:line="264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>作用</w:t>
            </w:r>
          </w:p>
        </w:tc>
      </w:tr>
      <w:tr w14:paraId="4EA481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399AB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read_image()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B10E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读取图像并校正 EXIF 朝向</w:t>
            </w:r>
          </w:p>
        </w:tc>
      </w:tr>
      <w:tr w14:paraId="69C65F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FAB2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analyze()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6DBA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执行完整识别流程并保存图像与数值结果</w:t>
            </w:r>
          </w:p>
        </w:tc>
      </w:tr>
      <w:tr w14:paraId="599DE1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C4250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detect_pointer()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8E24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筛选候选线段并判断针尖方向</w:t>
            </w:r>
          </w:p>
        </w:tc>
      </w:tr>
      <w:tr w14:paraId="7009B3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6F3D4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angle_to_value()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4C0EA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按标定方向计算有效转角并映射量程</w:t>
            </w:r>
          </w:p>
        </w:tc>
      </w:tr>
      <w:tr w14:paraId="11599C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AC8CD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hough_accumulator()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63CDC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计算标准霍夫累加器用于教学可视化</w:t>
            </w:r>
          </w:p>
        </w:tc>
      </w:tr>
      <w:tr w14:paraId="1D3CB4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F75F8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cv2.HoughLinesP()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D860E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根据边缘图返回候选直线段</w:t>
            </w:r>
          </w:p>
        </w:tc>
      </w:tr>
      <w:tr w14:paraId="53CD07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0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3CE793F6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cv2.HoughCircles()</w:t>
            </w:r>
          </w:p>
        </w:tc>
        <w:tc>
          <w:tcPr>
            <w:tcW w:w="510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B241F2F">
            <w:pPr>
              <w:keepLines/>
              <w:snapToGrid w:val="0"/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可选的圆心与半径辅助定位</w:t>
            </w:r>
          </w:p>
        </w:tc>
      </w:tr>
    </w:tbl>
    <w:p w14:paraId="7B9BC610">
      <w:pPr>
        <w:spacing w:after="60" w:line="80" w:lineRule="exact"/>
      </w:pPr>
    </w:p>
    <w:p w14:paraId="220A4D46">
      <w:r>
        <w:t>函数签名和参数以core.py为准。合成步骤图保存在demo/demo_outputs/；真实单图记录位于experiments/experiments_outputs/per_image/，参考值与误差汇总也保存在该目录。霍夫圆对照位于experiments/experiments_circle_comparison/，其中configuration与references.csv为参数和参考值快照，comparison.csv按原图文件名关联两组结果。</w:t>
      </w:r>
    </w:p>
    <w:p w14:paraId="00433AD8">
      <w:pPr>
        <w:pStyle w:val="3"/>
      </w:pPr>
      <w:bookmarkStart w:id="40" w:name="_Toc242912143"/>
      <w:r>
        <w:t>3. 参考资料</w:t>
      </w:r>
      <w:bookmarkEnd w:id="40"/>
    </w:p>
    <w:p w14:paraId="2E351DBA">
      <w:pPr>
        <w:spacing w:after="100"/>
        <w:jc w:val="left"/>
      </w:pPr>
      <w:r>
        <w:rPr>
          <w:sz w:val="18"/>
        </w:rPr>
        <w:t>[1] OpenCV Hough Line Transform</w:t>
      </w:r>
      <w:r>
        <w:rPr>
          <w:sz w:val="18"/>
        </w:rPr>
        <w:br w:type="textWrapping"/>
      </w:r>
      <w:r>
        <w:rPr>
          <w:sz w:val="18"/>
        </w:rPr>
        <w:t>https://docs.opencv.org/4.x/d6/d10/tutorial_py_houghlines.html</w:t>
      </w:r>
    </w:p>
    <w:p w14:paraId="46C23752">
      <w:pPr>
        <w:spacing w:after="100"/>
        <w:jc w:val="left"/>
      </w:pPr>
      <w:r>
        <w:rPr>
          <w:sz w:val="18"/>
        </w:rPr>
        <w:t>[2] OpenCV Image Thresholding</w:t>
      </w:r>
      <w:r>
        <w:rPr>
          <w:sz w:val="18"/>
        </w:rPr>
        <w:br w:type="textWrapping"/>
      </w:r>
      <w:r>
        <w:rPr>
          <w:sz w:val="18"/>
        </w:rPr>
        <w:t>https://docs.opencv.org/4.x/d7/d4d/tutorial_py_thresholding.html</w:t>
      </w:r>
    </w:p>
    <w:p w14:paraId="23D12958">
      <w:pPr>
        <w:spacing w:after="100"/>
        <w:jc w:val="left"/>
      </w:pPr>
      <w:r>
        <w:rPr>
          <w:sz w:val="18"/>
        </w:rPr>
        <w:t>[3] OpenCV Morphological Transformations</w:t>
      </w:r>
      <w:r>
        <w:rPr>
          <w:sz w:val="18"/>
        </w:rPr>
        <w:br w:type="textWrapping"/>
      </w:r>
      <w:r>
        <w:rPr>
          <w:sz w:val="18"/>
        </w:rPr>
        <w:t>https://docs.opencv.org/4.x/d9/d61/tutorial_py_morphological_ops.html</w:t>
      </w:r>
    </w:p>
    <w:p w14:paraId="2A2BE5AB">
      <w:pPr>
        <w:spacing w:after="100"/>
        <w:jc w:val="left"/>
      </w:pPr>
      <w:r>
        <w:rPr>
          <w:sz w:val="18"/>
        </w:rPr>
        <w:t>[4] OpenCV Hough Circle Transform</w:t>
      </w:r>
      <w:r>
        <w:rPr>
          <w:sz w:val="18"/>
        </w:rPr>
        <w:br w:type="textWrapping"/>
      </w:r>
      <w:r>
        <w:rPr>
          <w:sz w:val="18"/>
        </w:rPr>
        <w:t>https://docs.opencv.org/4.x/da/d53/tutorial_py_houghcircles.html</w:t>
      </w:r>
    </w:p>
    <w:p w14:paraId="71169CA5">
      <w:pPr>
        <w:spacing w:after="100"/>
        <w:jc w:val="left"/>
      </w:pPr>
      <w:r>
        <w:rPr>
          <w:sz w:val="18"/>
        </w:rPr>
        <w:t>[5] Python Tkinter</w:t>
      </w:r>
      <w:r>
        <w:rPr>
          <w:sz w:val="18"/>
        </w:rPr>
        <w:br w:type="textWrapping"/>
      </w:r>
      <w:r>
        <w:rPr>
          <w:sz w:val="18"/>
        </w:rPr>
        <w:t>https://docs.python.org/3/library/tkinter.html</w:t>
      </w:r>
    </w:p>
    <w:p w14:paraId="0B8469BE"/>
    <w:sectPr>
      <w:headerReference r:id="rId4" w:type="default"/>
      <w:footerReference r:id="rId5" w:type="default"/>
      <w:pgSz w:w="11906" w:h="16838"/>
      <w:pgMar w:top="1440" w:right="1440" w:bottom="1440" w:left="1440" w:header="850" w:footer="992" w:gutter="0"/>
      <w:cols w:space="0" w:num="1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8BCA4F43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716F8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83601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77604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77604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AAFB8"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9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B192D"/>
    <w:rsid w:val="00065F25"/>
    <w:rsid w:val="001C4303"/>
    <w:rsid w:val="002F6247"/>
    <w:rsid w:val="00304704"/>
    <w:rsid w:val="00664926"/>
    <w:rsid w:val="00931903"/>
    <w:rsid w:val="00967609"/>
    <w:rsid w:val="00CB65CF"/>
    <w:rsid w:val="00F74690"/>
    <w:rsid w:val="00F94FFA"/>
    <w:rsid w:val="00FD225C"/>
    <w:rsid w:val="20F23424"/>
    <w:rsid w:val="2AF51AD3"/>
    <w:rsid w:val="432B192D"/>
    <w:rsid w:val="48307F73"/>
    <w:rsid w:val="486B747D"/>
    <w:rsid w:val="4F6C4246"/>
    <w:rsid w:val="5F950838"/>
    <w:rsid w:val="5FFD6DB2"/>
    <w:rsid w:val="615F5505"/>
    <w:rsid w:val="707A26BB"/>
    <w:rsid w:val="74C37C17"/>
    <w:rsid w:val="7813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00" w:after="140"/>
      <w:outlineLvl w:val="0"/>
    </w:pPr>
    <w:rPr>
      <w:rFonts w:eastAsia="黑体"/>
      <w:bCs/>
      <w:color w:val="000000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140"/>
      <w:outlineLvl w:val="1"/>
    </w:pPr>
    <w:rPr>
      <w:rFonts w:eastAsia="KaiTi_GB2312"/>
      <w:bCs/>
      <w:color w:val="000000"/>
      <w:sz w:val="28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140"/>
      <w:outlineLvl w:val="2"/>
    </w:pPr>
    <w:rPr>
      <w:rFonts w:eastAsia="KaiTi_GB2312"/>
      <w:bCs/>
      <w:color w:val="000000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pPr>
      <w:spacing w:before="200" w:after="140"/>
    </w:pPr>
    <w:rPr>
      <w:rFonts w:eastAsia="FangSong_GB2312"/>
      <w:bCs/>
      <w:color w:val="000000"/>
      <w:szCs w:val="18"/>
    </w:r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qFormat/>
    <w:uiPriority w:val="39"/>
    <w:pPr>
      <w:tabs>
        <w:tab w:val="right" w:leader="dot" w:pos="8980"/>
      </w:tabs>
      <w:snapToGrid w:val="0"/>
      <w:spacing w:before="50" w:after="45" w:line="276" w:lineRule="auto"/>
    </w:pPr>
    <w:rPr>
      <w:rFonts w:ascii="Times New Roman" w:hAnsi="Times New Roman" w:eastAsia="宋体" w:cstheme="minorBidi"/>
      <w:b/>
      <w:color w:val="000000"/>
      <w:sz w:val="23"/>
      <w:szCs w:val="23"/>
      <w:lang w:val="en-US" w:eastAsia="zh-CN" w:bidi="ar-SA"/>
    </w:rPr>
  </w:style>
  <w:style w:type="paragraph" w:styleId="10">
    <w:name w:val="toc 2"/>
    <w:qFormat/>
    <w:uiPriority w:val="39"/>
    <w:pPr>
      <w:tabs>
        <w:tab w:val="right" w:leader="dot" w:pos="8980"/>
      </w:tabs>
      <w:snapToGrid w:val="0"/>
      <w:spacing w:after="45" w:line="276" w:lineRule="auto"/>
      <w:ind w:left="340"/>
    </w:pPr>
    <w:rPr>
      <w:rFonts w:ascii="Times New Roman" w:hAnsi="Times New Roman" w:eastAsia="宋体" w:cstheme="minorBidi"/>
      <w:color w:val="000000"/>
      <w:sz w:val="23"/>
      <w:szCs w:val="23"/>
      <w:lang w:val="en-US" w:eastAsia="zh-CN" w:bidi="ar-SA"/>
    </w:rPr>
  </w:style>
  <w:style w:type="character" w:styleId="13">
    <w:name w:val="Hyperlink"/>
    <w:basedOn w:val="12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4">
    <w:name w:val="p0"/>
    <w:basedOn w:val="1"/>
    <w:qFormat/>
    <w:uiPriority w:val="0"/>
    <w:pPr>
      <w:widowControl/>
    </w:pPr>
    <w:rPr>
      <w:kern w:val="0"/>
      <w:sz w:val="24"/>
    </w:rPr>
  </w:style>
  <w:style w:type="paragraph" w:customStyle="1" w:styleId="15">
    <w:name w:val="TOC Entry"/>
    <w:qFormat/>
    <w:uiPriority w:val="0"/>
    <w:pPr>
      <w:spacing w:line="400" w:lineRule="exact"/>
    </w:pPr>
    <w:rPr>
      <w:rFonts w:ascii="Times New Roman" w:hAnsi="Times New Roman" w:eastAsia="FangSong_GB2312" w:cstheme="minorBidi"/>
      <w:color w:val="000000"/>
      <w:sz w:val="24"/>
      <w:szCs w:val="22"/>
      <w:lang w:val="en-US" w:eastAsia="en-US" w:bidi="ar-SA"/>
    </w:rPr>
  </w:style>
  <w:style w:type="paragraph" w:customStyle="1" w:styleId="16">
    <w:name w:val="Code"/>
    <w:qFormat/>
    <w:uiPriority w:val="0"/>
    <w:pPr>
      <w:snapToGrid w:val="0"/>
      <w:spacing w:line="260" w:lineRule="atLeast"/>
    </w:pPr>
    <w:rPr>
      <w:rFonts w:ascii="Consolas" w:hAnsi="Consolas" w:eastAsia="宋体" w:cs="Consolas"/>
      <w:color w:val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1017</Words>
  <Characters>1169</Characters>
  <Lines>552</Lines>
  <Paragraphs>708</Paragraphs>
  <TotalTime>0</TotalTime>
  <ScaleCrop>false</ScaleCrop>
  <LinksUpToDate>false</LinksUpToDate>
  <CharactersWithSpaces>1447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2026-10-14T06:59:00Z</dcterms:created>
  <dc:creator>m3rcy</dc:creator>
  <cp:lastModifiedBy>m3rcy</cp:lastModifiedBy>
  <dcterms:modified xsi:type="dcterms:W3CDTF">2026-10-15T05:18:48Z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DBCD9A044C7C48F3A53D6400A84ADF97_11</vt:lpwstr>
  </property>
  <property fmtid="{D5CDD505-2E9C-101B-9397-08002B2CF9AE}" pid="4" name="KSOTemplateDocerSaveRecord">
    <vt:lpwstr>eyJoZGlkIjoiNjQ2YWI2MDE5MDEwZjhlZDNjNGQzYWNhMTBlOTAxY2YiLCJ1c2VySWQiOiIyMDE4NDQ5NjgifQ==</vt:lpwstr>
  </property>
</Properties>
</file>