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机器学习平台简要说明文档</w:t>
      </w:r>
    </w:p>
    <w:p>
      <w:pPr>
        <w:pStyle w:val="2"/>
        <w:ind w:left="432" w:leftChars="0" w:hanging="432" w:firstLineChars="0"/>
        <w:rPr>
          <w:rFonts w:hint="eastAsia"/>
          <w:lang w:val="en-US" w:eastAsia="zh-CN"/>
        </w:rPr>
      </w:pPr>
      <w:r>
        <w:rPr>
          <w:rFonts w:hint="eastAsia"/>
          <w:lang w:val="en-US" w:eastAsia="zh-CN"/>
        </w:rPr>
        <w:t>产品背景</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大数据的发展,在公安和航空等领域累积越来越多的数据，如何应用机器学习技术快速的挖掘数据背后的规律成为最紧迫的需求；特别是天津模型工厂的开发过程中，我们对公安的业务和数据有了更多的了解，同时客户可希望应用机器学习和数据挖掘的技术来分析他们的数据，以及可配置的分析工具提供给他们使用。因此需要开发机器学习平台来应对快速变化的分析业务，主要是为了解决以下问题：</w:t>
      </w:r>
    </w:p>
    <w:p>
      <w:pPr>
        <w:numPr>
          <w:ilvl w:val="0"/>
          <w:numId w:val="2"/>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提高分析型业务的代码复用和业务；</w:t>
      </w:r>
    </w:p>
    <w:p>
      <w:pPr>
        <w:numPr>
          <w:ilvl w:val="0"/>
          <w:numId w:val="2"/>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提供机器学习和数据挖掘的基础框架；</w:t>
      </w:r>
    </w:p>
    <w:p>
      <w:pPr>
        <w:numPr>
          <w:ilvl w:val="0"/>
          <w:numId w:val="2"/>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降低机器学习和数据挖掘的门槛；</w:t>
      </w:r>
    </w:p>
    <w:p>
      <w:pPr>
        <w:numPr>
          <w:ilvl w:val="0"/>
          <w:numId w:val="2"/>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为能力赋能平台提供基础平台支撑；</w:t>
      </w:r>
    </w:p>
    <w:p>
      <w:pPr>
        <w:numPr>
          <w:ilvl w:val="0"/>
          <w:numId w:val="2"/>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提高项目的开发速度，降低项目开发成本；</w:t>
      </w:r>
    </w:p>
    <w:p>
      <w:pPr>
        <w:pStyle w:val="2"/>
        <w:ind w:left="432" w:leftChars="0" w:hanging="432" w:firstLineChars="0"/>
        <w:rPr>
          <w:rFonts w:hint="eastAsia"/>
          <w:lang w:val="en-US" w:eastAsia="zh-CN"/>
        </w:rPr>
      </w:pPr>
      <w:r>
        <w:rPr>
          <w:rFonts w:hint="eastAsia"/>
          <w:lang w:val="en-US" w:eastAsia="zh-CN"/>
        </w:rPr>
        <w:t>产品定位</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机器学习平台（DataInsight）</w:t>
      </w:r>
      <w:r>
        <w:rPr>
          <w:rFonts w:ascii="宋体" w:hAnsi="宋体" w:eastAsia="宋体" w:cs="宋体"/>
          <w:sz w:val="24"/>
          <w:szCs w:val="24"/>
        </w:rPr>
        <w:t>是一款一站式的机器学习平台，包含数据处理、特征工程、常规机器学习算法、模型的评估以及预测这一整套机器学习相关服务。</w:t>
      </w:r>
      <w:r>
        <w:rPr>
          <w:rFonts w:hint="eastAsia" w:ascii="宋体" w:hAnsi="宋体" w:eastAsia="宋体" w:cs="宋体"/>
          <w:sz w:val="24"/>
          <w:szCs w:val="24"/>
          <w:lang w:val="en-US" w:eastAsia="zh-CN"/>
        </w:rPr>
        <w:t>并且，DataInsight提供本地单机多线程、深度学习、分布式计算三大类框架，以应对不同的业务场景。</w:t>
      </w:r>
      <w:r>
        <w:rPr>
          <w:rFonts w:ascii="宋体" w:hAnsi="宋体" w:eastAsia="宋体" w:cs="宋体"/>
          <w:sz w:val="24"/>
          <w:szCs w:val="24"/>
        </w:rPr>
        <w:t>另外，</w:t>
      </w:r>
      <w:r>
        <w:rPr>
          <w:rFonts w:hint="eastAsia" w:ascii="宋体" w:hAnsi="宋体" w:eastAsia="宋体" w:cs="宋体"/>
          <w:sz w:val="24"/>
          <w:szCs w:val="24"/>
          <w:lang w:val="en-US" w:eastAsia="zh-CN"/>
        </w:rPr>
        <w:t>DataInsight</w:t>
      </w:r>
      <w:r>
        <w:rPr>
          <w:rFonts w:ascii="宋体" w:hAnsi="宋体" w:eastAsia="宋体" w:cs="宋体"/>
          <w:sz w:val="24"/>
          <w:szCs w:val="24"/>
        </w:rPr>
        <w:t>将算法组件进行封装，</w:t>
      </w:r>
      <w:r>
        <w:rPr>
          <w:rFonts w:hint="eastAsia" w:ascii="宋体" w:hAnsi="宋体" w:eastAsia="宋体" w:cs="宋体"/>
          <w:sz w:val="24"/>
          <w:szCs w:val="24"/>
          <w:lang w:val="en-US" w:eastAsia="zh-CN"/>
        </w:rPr>
        <w:t>并</w:t>
      </w:r>
      <w:r>
        <w:rPr>
          <w:rFonts w:ascii="宋体" w:hAnsi="宋体" w:eastAsia="宋体" w:cs="宋体"/>
          <w:sz w:val="24"/>
          <w:szCs w:val="24"/>
        </w:rPr>
        <w:t>增添了</w:t>
      </w:r>
      <w:r>
        <w:rPr>
          <w:rFonts w:hint="eastAsia" w:ascii="宋体" w:hAnsi="宋体" w:eastAsia="宋体" w:cs="宋体"/>
          <w:sz w:val="24"/>
          <w:szCs w:val="24"/>
          <w:lang w:val="en-US" w:eastAsia="zh-CN"/>
        </w:rPr>
        <w:t>丰富</w:t>
      </w:r>
      <w:r>
        <w:rPr>
          <w:rFonts w:ascii="宋体" w:hAnsi="宋体" w:eastAsia="宋体" w:cs="宋体"/>
          <w:sz w:val="24"/>
          <w:szCs w:val="24"/>
        </w:rPr>
        <w:t>的可视化工具，让用户可以低门槛上手，</w:t>
      </w:r>
      <w:r>
        <w:rPr>
          <w:rFonts w:hint="eastAsia" w:ascii="宋体" w:hAnsi="宋体" w:eastAsia="宋体" w:cs="宋体"/>
          <w:sz w:val="24"/>
          <w:szCs w:val="24"/>
          <w:lang w:val="en-US" w:eastAsia="zh-CN"/>
        </w:rPr>
        <w:t>通过简单的拖拽就可以实现整套机器学习工作流程。</w:t>
      </w:r>
    </w:p>
    <w:p>
      <w:pPr>
        <w:pStyle w:val="2"/>
        <w:rPr>
          <w:rFonts w:hint="eastAsia"/>
          <w:lang w:val="en-US" w:eastAsia="zh-CN"/>
        </w:rPr>
      </w:pPr>
      <w:r>
        <w:rPr>
          <w:rFonts w:hint="eastAsia"/>
          <w:lang w:val="en-US" w:eastAsia="zh-CN"/>
        </w:rPr>
        <w:t>产品架构</w:t>
      </w:r>
    </w:p>
    <w:p>
      <w:pPr>
        <w:rPr>
          <w:rFonts w:hint="eastAsia"/>
          <w:sz w:val="24"/>
          <w:szCs w:val="24"/>
          <w:lang w:val="en-US" w:eastAsia="zh-CN"/>
        </w:rPr>
      </w:pPr>
      <w:r>
        <w:rPr>
          <w:rFonts w:hint="eastAsia"/>
          <w:sz w:val="24"/>
          <w:szCs w:val="24"/>
          <w:lang w:val="en-US" w:eastAsia="zh-CN"/>
        </w:rPr>
        <w:t>机器学习平台主要由3个子系统构成：</w:t>
      </w: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计算引擎(Engine)：封装Operator来做数据处理、挖掘和分析，以此来提供强大、灵活的数据处理和分析的能力；</w:t>
      </w: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Web前端配置系统(Web-FrontEnd)：前端配置界面从后端服务上取得各种元信息(比如算子、参数和数据源配置信息等)，以及提交算子和应用的配置参数并保存到数据库中；</w:t>
      </w: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Web服务系统 (Web-Service)：Web服务有两个主要功能：</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响应前端配置界面的请求，从数据库中获取元信息并发送给前端，将前端提交的配置信息保存到数据库中；</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启动计算引擎中的计算任务，提交到计算集群上进行运算，保存日志和错误信息等，以及计算任务的分配和调度等功能；</w:t>
      </w:r>
    </w:p>
    <w:p>
      <w:pPr>
        <w:rPr>
          <w:rFonts w:hint="eastAsia"/>
          <w:sz w:val="24"/>
          <w:szCs w:val="24"/>
          <w:lang w:val="en-US" w:eastAsia="zh-CN"/>
        </w:rPr>
      </w:pPr>
      <w:r>
        <w:rPr>
          <w:rFonts w:hint="eastAsia"/>
          <w:sz w:val="24"/>
          <w:szCs w:val="24"/>
          <w:lang w:val="en-US" w:eastAsia="zh-CN"/>
        </w:rPr>
        <w:t>机器学习平台各子系统之间的交互关系：</w:t>
      </w:r>
    </w:p>
    <w:p>
      <w:pPr>
        <w:rPr>
          <w:rFonts w:hint="eastAsia"/>
          <w:lang w:val="en-US" w:eastAsia="zh-CN"/>
        </w:rPr>
      </w:pPr>
      <w:r>
        <w:rPr>
          <w:rFonts w:hint="eastAsia"/>
          <w:lang w:val="en-US" w:eastAsia="zh-CN"/>
        </w:rPr>
        <w:drawing>
          <wp:inline distT="0" distB="0" distL="114300" distR="114300">
            <wp:extent cx="5271135" cy="4124960"/>
            <wp:effectExtent l="0" t="0" r="1905" b="5080"/>
            <wp:docPr id="5" name="图片 5" descr="DataInsight架构设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Insight架构设计(1)"/>
                    <pic:cNvPicPr>
                      <a:picLocks noChangeAspect="1"/>
                    </pic:cNvPicPr>
                  </pic:nvPicPr>
                  <pic:blipFill>
                    <a:blip r:embed="rId4"/>
                    <a:stretch>
                      <a:fillRect/>
                    </a:stretch>
                  </pic:blipFill>
                  <pic:spPr>
                    <a:xfrm>
                      <a:off x="0" y="0"/>
                      <a:ext cx="5271135" cy="4124960"/>
                    </a:xfrm>
                    <a:prstGeom prst="rect">
                      <a:avLst/>
                    </a:prstGeom>
                  </pic:spPr>
                </pic:pic>
              </a:graphicData>
            </a:graphic>
          </wp:inline>
        </w:drawing>
      </w:r>
      <w:bookmarkStart w:id="0" w:name="_GoBack"/>
      <w:bookmarkEnd w:id="0"/>
    </w:p>
    <w:p>
      <w:pPr>
        <w:pStyle w:val="2"/>
        <w:rPr>
          <w:rFonts w:hint="eastAsia"/>
          <w:lang w:val="en-US" w:eastAsia="zh-CN"/>
        </w:rPr>
      </w:pPr>
      <w:r>
        <w:rPr>
          <w:rFonts w:hint="eastAsia"/>
          <w:lang w:val="en-US" w:eastAsia="zh-CN"/>
        </w:rPr>
        <w:t>产品特性</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支持多种主流数据源接入</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分布式数据仓库：Hive、Impala</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关系型数据库：Mysql、Oracle、Postgresql</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支持三类计算框架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单机多线程：适用于小规模数据场景，无需接入分布式集群，帮助用户快速处理数据</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分布式计算框架：适用于大规模数据场景，得益于Spark分布式快速计算引擎，可为用户提供PB级别数据的高效计算保证</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深度学习：适用于需要大规模数据量迭代计算的场景，充分运用Deeplearning4J深度学习库，为用户提供高效的计算能力</w:t>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具有丰富的算法组件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数据预处理组件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数据读写组件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特征工程组件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机器学习算法组件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模型应用组件</w:t>
      </w:r>
    </w:p>
    <w:p>
      <w:pPr>
        <w:numPr>
          <w:ilvl w:val="1"/>
          <w:numId w:val="4"/>
        </w:numPr>
        <w:ind w:left="840" w:leftChars="0" w:hanging="420" w:firstLineChars="0"/>
        <w:rPr>
          <w:rFonts w:hint="eastAsia"/>
          <w:sz w:val="24"/>
          <w:szCs w:val="24"/>
          <w:lang w:val="en-US" w:eastAsia="zh-CN"/>
        </w:rPr>
      </w:pPr>
      <w:r>
        <w:rPr>
          <w:rFonts w:hint="eastAsia"/>
          <w:sz w:val="24"/>
          <w:szCs w:val="24"/>
          <w:lang w:val="en-US" w:eastAsia="zh-CN"/>
        </w:rPr>
        <w:t>模型评估与预测组件</w:t>
      </w:r>
    </w:p>
    <w:p>
      <w:pPr>
        <w:numPr>
          <w:ilvl w:val="0"/>
          <w:numId w:val="0"/>
        </w:numPr>
        <w:ind w:left="420" w:leftChars="0"/>
        <w:rPr>
          <w:rFonts w:hint="eastAsia"/>
          <w:lang w:val="en-US" w:eastAsia="zh-CN"/>
        </w:rPr>
      </w:pPr>
      <w:r>
        <w:rPr>
          <w:rFonts w:hint="eastAsia"/>
          <w:lang w:val="en-US" w:eastAsia="zh-CN"/>
        </w:rPr>
        <w:drawing>
          <wp:inline distT="0" distB="0" distL="114300" distR="114300">
            <wp:extent cx="5271770" cy="2923540"/>
            <wp:effectExtent l="0" t="0" r="1270" b="2540"/>
            <wp:docPr id="2" name="图片 2" descr="DataInsight算子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Insight算子概述"/>
                    <pic:cNvPicPr>
                      <a:picLocks noChangeAspect="1"/>
                    </pic:cNvPicPr>
                  </pic:nvPicPr>
                  <pic:blipFill>
                    <a:blip r:embed="rId5"/>
                    <a:stretch>
                      <a:fillRect/>
                    </a:stretch>
                  </pic:blipFill>
                  <pic:spPr>
                    <a:xfrm>
                      <a:off x="0" y="0"/>
                      <a:ext cx="5271770" cy="2923540"/>
                    </a:xfrm>
                    <a:prstGeom prst="rect">
                      <a:avLst/>
                    </a:prstGeom>
                  </pic:spPr>
                </pic:pic>
              </a:graphicData>
            </a:graphic>
          </wp:inline>
        </w:drawing>
      </w:r>
    </w:p>
    <w:p>
      <w:pPr>
        <w:numPr>
          <w:ilvl w:val="0"/>
          <w:numId w:val="4"/>
        </w:numPr>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简洁的可视化操作环境</w:t>
      </w:r>
    </w:p>
    <w:p>
      <w:pPr>
        <w:numPr>
          <w:ilvl w:val="0"/>
          <w:numId w:val="0"/>
        </w:numPr>
        <w:ind w:leftChars="0"/>
        <w:rPr>
          <w:rFonts w:hint="eastAsia"/>
          <w:lang w:val="en-US" w:eastAsia="zh-CN"/>
        </w:rPr>
      </w:pPr>
      <w:r>
        <w:rPr>
          <w:rFonts w:hint="eastAsia"/>
          <w:lang w:val="en-US" w:eastAsia="zh-CN"/>
        </w:rPr>
        <w:drawing>
          <wp:inline distT="0" distB="0" distL="114300" distR="114300">
            <wp:extent cx="5556250" cy="2774950"/>
            <wp:effectExtent l="0" t="0" r="6350" b="13970"/>
            <wp:docPr id="1" name="图片 1" descr="24735881887380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7358818873809277"/>
                    <pic:cNvPicPr>
                      <a:picLocks noChangeAspect="1"/>
                    </pic:cNvPicPr>
                  </pic:nvPicPr>
                  <pic:blipFill>
                    <a:blip r:embed="rId6"/>
                    <a:stretch>
                      <a:fillRect/>
                    </a:stretch>
                  </pic:blipFill>
                  <pic:spPr>
                    <a:xfrm>
                      <a:off x="0" y="0"/>
                      <a:ext cx="5556250" cy="2774950"/>
                    </a:xfrm>
                    <a:prstGeom prst="rect">
                      <a:avLst/>
                    </a:prstGeom>
                  </pic:spPr>
                </pic:pic>
              </a:graphicData>
            </a:graphic>
          </wp:inline>
        </w:drawing>
      </w:r>
    </w:p>
    <w:p>
      <w:pPr>
        <w:numPr>
          <w:ilvl w:val="0"/>
          <w:numId w:val="4"/>
        </w:numPr>
        <w:ind w:left="425" w:leftChars="0" w:hanging="425" w:firstLineChars="0"/>
        <w:rPr>
          <w:rFonts w:hint="eastAsia"/>
          <w:sz w:val="24"/>
          <w:szCs w:val="24"/>
          <w:lang w:val="en-US" w:eastAsia="zh-CN"/>
        </w:rPr>
      </w:pPr>
      <w:r>
        <w:rPr>
          <w:rFonts w:hint="eastAsia"/>
          <w:sz w:val="24"/>
          <w:szCs w:val="24"/>
          <w:lang w:val="en-US" w:eastAsia="zh-CN"/>
        </w:rPr>
        <w:t>一站式机器学习体验</w:t>
      </w:r>
    </w:p>
    <w:p>
      <w:pPr>
        <w:numPr>
          <w:ilvl w:val="0"/>
          <w:numId w:val="0"/>
        </w:numPr>
        <w:ind w:left="420" w:leftChars="0" w:firstLine="480" w:firstLineChars="200"/>
        <w:rPr>
          <w:rFonts w:hint="eastAsia"/>
          <w:sz w:val="24"/>
          <w:szCs w:val="24"/>
          <w:lang w:val="en-US" w:eastAsia="zh-CN"/>
        </w:rPr>
      </w:pPr>
      <w:r>
        <w:rPr>
          <w:rFonts w:ascii="宋体" w:hAnsi="宋体" w:eastAsia="宋体" w:cs="宋体"/>
          <w:sz w:val="24"/>
          <w:szCs w:val="24"/>
        </w:rPr>
        <w:t>提供模型训练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模型评估以及模型持久化</w:t>
      </w:r>
      <w:r>
        <w:rPr>
          <w:rFonts w:ascii="宋体" w:hAnsi="宋体" w:eastAsia="宋体" w:cs="宋体"/>
          <w:sz w:val="24"/>
          <w:szCs w:val="24"/>
        </w:rPr>
        <w:t>功能，</w:t>
      </w:r>
      <w:r>
        <w:rPr>
          <w:rFonts w:hint="eastAsia" w:ascii="宋体" w:hAnsi="宋体" w:eastAsia="宋体" w:cs="宋体"/>
          <w:sz w:val="24"/>
          <w:szCs w:val="24"/>
          <w:lang w:val="en-US" w:eastAsia="zh-CN"/>
        </w:rPr>
        <w:t>模型可以重复使用、重新编辑、多次迭代，模型既可以用于</w:t>
      </w:r>
      <w:r>
        <w:rPr>
          <w:rFonts w:ascii="宋体" w:hAnsi="宋体" w:eastAsia="宋体" w:cs="宋体"/>
          <w:sz w:val="24"/>
          <w:szCs w:val="24"/>
        </w:rPr>
        <w:t>在线预测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也可以</w:t>
      </w:r>
      <w:r>
        <w:rPr>
          <w:rFonts w:ascii="宋体" w:hAnsi="宋体" w:eastAsia="宋体" w:cs="宋体"/>
          <w:sz w:val="24"/>
          <w:szCs w:val="24"/>
        </w:rPr>
        <w:t>离线调度，让机器学习训练结果和业务无缝衔接</w:t>
      </w:r>
    </w:p>
    <w:p>
      <w:pPr>
        <w:rPr>
          <w:rFonts w:hint="eastAsia"/>
          <w:lang w:val="en-US" w:eastAsia="zh-CN"/>
        </w:rPr>
      </w:pPr>
    </w:p>
    <w:p>
      <w:pPr>
        <w:pStyle w:val="2"/>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F1AFF"/>
    <w:multiLevelType w:val="multilevel"/>
    <w:tmpl w:val="1BBF1AF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F8352C4"/>
    <w:multiLevelType w:val="multilevel"/>
    <w:tmpl w:val="1F8352C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B5D5092"/>
    <w:multiLevelType w:val="singleLevel"/>
    <w:tmpl w:val="2B5D5092"/>
    <w:lvl w:ilvl="0" w:tentative="0">
      <w:start w:val="1"/>
      <w:numFmt w:val="decimal"/>
      <w:lvlText w:val="%1)"/>
      <w:lvlJc w:val="left"/>
      <w:pPr>
        <w:ind w:left="425" w:hanging="425"/>
      </w:pPr>
      <w:rPr>
        <w:rFonts w:hint="default"/>
      </w:rPr>
    </w:lvl>
  </w:abstractNum>
  <w:abstractNum w:abstractNumId="3">
    <w:nsid w:val="2BF6B6E0"/>
    <w:multiLevelType w:val="multilevel"/>
    <w:tmpl w:val="2BF6B6E0"/>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A5E1A"/>
    <w:rsid w:val="23312716"/>
    <w:rsid w:val="346A7433"/>
    <w:rsid w:val="4E210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ind w:left="432" w:hanging="432"/>
      <w:outlineLvl w:val="0"/>
    </w:pPr>
    <w:rPr>
      <w:rFonts w:asciiTheme="minorAscii" w:hAnsiTheme="minorAscii"/>
      <w:b/>
      <w:kern w:val="44"/>
      <w:sz w:val="28"/>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zzh</cp:lastModifiedBy>
  <dcterms:modified xsi:type="dcterms:W3CDTF">2018-03-23T06:57:49Z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