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ECD" w:rsidRDefault="00E82E99">
      <w:pPr>
        <w:spacing w:line="560" w:lineRule="exact"/>
        <w:ind w:firstLineChars="200" w:firstLine="880"/>
        <w:jc w:val="center"/>
        <w:rPr>
          <w:rFonts w:ascii="华文中宋" w:eastAsia="华文中宋" w:hAnsi="华文中宋" w:cs="华文中宋"/>
          <w:sz w:val="44"/>
          <w:szCs w:val="44"/>
        </w:rPr>
      </w:pPr>
      <w:bookmarkStart w:id="0" w:name="_GoBack"/>
      <w:bookmarkEnd w:id="0"/>
      <w:r>
        <w:rPr>
          <w:rFonts w:ascii="华文中宋" w:eastAsia="华文中宋" w:hAnsi="华文中宋" w:cs="华文中宋" w:hint="eastAsia"/>
          <w:sz w:val="44"/>
          <w:szCs w:val="44"/>
        </w:rPr>
        <w:t>公寓楼住宅实有人口管理实战应用</w:t>
      </w:r>
    </w:p>
    <w:p w:rsidR="00845ECD" w:rsidRDefault="00E82E99">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一、建设背景</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公寓式住宅租期灵活，在发展中逐渐形成了人员结构复杂、流动性强、治安问题突出等特点</w:t>
      </w:r>
      <w:r>
        <w:rPr>
          <w:rFonts w:ascii="仿宋" w:eastAsia="仿宋" w:hAnsi="仿宋" w:hint="eastAsia"/>
          <w:sz w:val="32"/>
          <w:szCs w:val="32"/>
        </w:rPr>
        <w:t>。</w:t>
      </w:r>
      <w:r>
        <w:rPr>
          <w:rFonts w:ascii="仿宋" w:eastAsia="仿宋" w:hAnsi="仿宋" w:hint="eastAsia"/>
          <w:sz w:val="32"/>
          <w:szCs w:val="32"/>
        </w:rPr>
        <w:t>传统的警务工作模式已经无法适应</w:t>
      </w:r>
      <w:r>
        <w:rPr>
          <w:rFonts w:ascii="仿宋" w:eastAsia="仿宋" w:hAnsi="仿宋" w:hint="eastAsia"/>
          <w:sz w:val="32"/>
          <w:szCs w:val="32"/>
        </w:rPr>
        <w:t>公寓楼管理</w:t>
      </w:r>
      <w:r>
        <w:rPr>
          <w:rFonts w:ascii="仿宋" w:eastAsia="仿宋" w:hAnsi="仿宋" w:hint="eastAsia"/>
          <w:sz w:val="32"/>
          <w:szCs w:val="32"/>
        </w:rPr>
        <w:t>的需求。针对这一现状，我们以智能门禁系统</w:t>
      </w:r>
      <w:r>
        <w:rPr>
          <w:rFonts w:ascii="仿宋" w:eastAsia="仿宋" w:hAnsi="仿宋" w:hint="eastAsia"/>
          <w:sz w:val="32"/>
          <w:szCs w:val="32"/>
        </w:rPr>
        <w:t>建设为契机，</w:t>
      </w:r>
      <w:r>
        <w:rPr>
          <w:rFonts w:ascii="仿宋" w:eastAsia="仿宋" w:hAnsi="仿宋" w:hint="eastAsia"/>
          <w:sz w:val="32"/>
          <w:szCs w:val="32"/>
        </w:rPr>
        <w:t>创新</w:t>
      </w:r>
      <w:r>
        <w:rPr>
          <w:rFonts w:ascii="仿宋" w:eastAsia="仿宋" w:hAnsi="仿宋" w:hint="eastAsia"/>
          <w:sz w:val="32"/>
          <w:szCs w:val="32"/>
        </w:rPr>
        <w:t>公寓楼住宅实有人口</w:t>
      </w:r>
      <w:r>
        <w:rPr>
          <w:rFonts w:ascii="仿宋" w:eastAsia="仿宋" w:hAnsi="仿宋" w:hint="eastAsia"/>
          <w:sz w:val="32"/>
          <w:szCs w:val="32"/>
        </w:rPr>
        <w:t>管控手段。首先通过对各类警务数据</w:t>
      </w:r>
      <w:r>
        <w:rPr>
          <w:rFonts w:ascii="仿宋" w:eastAsia="仿宋" w:hAnsi="仿宋" w:hint="eastAsia"/>
          <w:sz w:val="32"/>
          <w:szCs w:val="32"/>
        </w:rPr>
        <w:t>综合</w:t>
      </w:r>
      <w:r>
        <w:rPr>
          <w:rFonts w:ascii="仿宋" w:eastAsia="仿宋" w:hAnsi="仿宋" w:hint="eastAsia"/>
          <w:sz w:val="32"/>
          <w:szCs w:val="32"/>
        </w:rPr>
        <w:t>分析得出特殊群体的特征规律及行为模式构建公寓楼住户标签体系</w:t>
      </w:r>
      <w:r>
        <w:rPr>
          <w:rFonts w:ascii="仿宋" w:eastAsia="仿宋" w:hAnsi="仿宋" w:hint="eastAsia"/>
          <w:sz w:val="32"/>
          <w:szCs w:val="32"/>
        </w:rPr>
        <w:t>，</w:t>
      </w:r>
      <w:r>
        <w:rPr>
          <w:rFonts w:ascii="仿宋" w:eastAsia="仿宋" w:hAnsi="仿宋" w:hint="eastAsia"/>
          <w:sz w:val="32"/>
          <w:szCs w:val="32"/>
        </w:rPr>
        <w:t>再将门禁系统实时收集到的大量鲜活、有效的数据，与公寓楼住户的标签体系相结合应用于公安实战，在实战中对标签体系进行动态化的调整，便于公安机关在大量的实有人口中快速精准发现重点人员及服务对象，针对不同对象，采取相应的打击处理及帮扶措施，</w:t>
      </w:r>
      <w:r>
        <w:rPr>
          <w:rFonts w:ascii="仿宋" w:eastAsia="仿宋" w:hAnsi="仿宋" w:hint="eastAsia"/>
          <w:sz w:val="32"/>
          <w:szCs w:val="32"/>
        </w:rPr>
        <w:t>在</w:t>
      </w:r>
      <w:r>
        <w:rPr>
          <w:rFonts w:ascii="仿宋" w:eastAsia="仿宋" w:hAnsi="仿宋" w:hint="eastAsia"/>
          <w:sz w:val="32"/>
          <w:szCs w:val="32"/>
        </w:rPr>
        <w:t>预判重点人员及服务民生</w:t>
      </w:r>
      <w:r>
        <w:rPr>
          <w:rFonts w:ascii="仿宋" w:eastAsia="仿宋" w:hAnsi="仿宋" w:hint="eastAsia"/>
          <w:sz w:val="32"/>
          <w:szCs w:val="32"/>
        </w:rPr>
        <w:t>等方面进行实践</w:t>
      </w:r>
      <w:r>
        <w:rPr>
          <w:rFonts w:ascii="仿宋" w:eastAsia="仿宋" w:hAnsi="仿宋" w:hint="eastAsia"/>
          <w:sz w:val="32"/>
          <w:szCs w:val="32"/>
        </w:rPr>
        <w:t>。</w:t>
      </w:r>
    </w:p>
    <w:p w:rsidR="00845ECD" w:rsidRDefault="00E82E99">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二</w:t>
      </w:r>
      <w:r>
        <w:rPr>
          <w:rFonts w:ascii="黑体" w:eastAsia="黑体" w:hAnsi="黑体" w:cs="黑体" w:hint="eastAsia"/>
          <w:sz w:val="32"/>
          <w:szCs w:val="32"/>
        </w:rPr>
        <w:t>、住户标签体系构建</w:t>
      </w:r>
      <w:r>
        <w:rPr>
          <w:rFonts w:ascii="黑体" w:eastAsia="黑体" w:hAnsi="黑体" w:cs="黑体" w:hint="eastAsia"/>
          <w:sz w:val="32"/>
          <w:szCs w:val="32"/>
        </w:rPr>
        <w:t>及应用</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（一）标签构建</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住户标签是住户多个特征的集合，根据不同住户的基础属性、活动轨迹、特殊行为三个维度给住户打上不同的标签</w:t>
      </w:r>
      <w:r>
        <w:rPr>
          <w:rFonts w:ascii="仿宋" w:eastAsia="仿宋" w:hAnsi="仿宋" w:hint="eastAsia"/>
          <w:sz w:val="32"/>
          <w:szCs w:val="32"/>
        </w:rPr>
        <w:t>指标</w:t>
      </w:r>
      <w:r>
        <w:rPr>
          <w:rFonts w:ascii="仿宋" w:eastAsia="仿宋" w:hAnsi="仿宋" w:hint="eastAsia"/>
          <w:sz w:val="32"/>
          <w:szCs w:val="32"/>
        </w:rPr>
        <w:t>。其中基础属性包括人员的年龄层次、</w:t>
      </w:r>
      <w:r>
        <w:rPr>
          <w:rFonts w:ascii="仿宋" w:eastAsia="仿宋" w:hAnsi="仿宋" w:hint="eastAsia"/>
          <w:sz w:val="32"/>
          <w:szCs w:val="32"/>
        </w:rPr>
        <w:t>同住人员、</w:t>
      </w:r>
      <w:r>
        <w:rPr>
          <w:rFonts w:ascii="仿宋" w:eastAsia="仿宋" w:hAnsi="仿宋" w:hint="eastAsia"/>
          <w:sz w:val="32"/>
          <w:szCs w:val="32"/>
        </w:rPr>
        <w:t>是否有违法犯罪记录及社保缴纳情况，活动轨迹包括上网、住宿记录及公寓楼进出记录，特殊行为包括涉警</w:t>
      </w:r>
      <w:r>
        <w:rPr>
          <w:rFonts w:ascii="仿宋" w:eastAsia="仿宋" w:hAnsi="仿宋" w:hint="eastAsia"/>
          <w:sz w:val="32"/>
          <w:szCs w:val="32"/>
        </w:rPr>
        <w:t>行为</w:t>
      </w:r>
      <w:r>
        <w:rPr>
          <w:rFonts w:ascii="仿宋" w:eastAsia="仿宋" w:hAnsi="仿宋" w:hint="eastAsia"/>
          <w:sz w:val="32"/>
          <w:szCs w:val="32"/>
        </w:rPr>
        <w:t>和</w:t>
      </w:r>
      <w:r>
        <w:rPr>
          <w:rFonts w:ascii="仿宋" w:eastAsia="仿宋" w:hAnsi="仿宋" w:hint="eastAsia"/>
          <w:sz w:val="32"/>
          <w:szCs w:val="32"/>
        </w:rPr>
        <w:t>特定通联行为等</w:t>
      </w:r>
      <w:r>
        <w:rPr>
          <w:rFonts w:ascii="仿宋" w:eastAsia="仿宋" w:hAnsi="仿宋" w:hint="eastAsia"/>
          <w:sz w:val="32"/>
          <w:szCs w:val="32"/>
        </w:rPr>
        <w:t>。</w:t>
      </w:r>
      <w:r>
        <w:rPr>
          <w:rFonts w:ascii="仿宋" w:eastAsia="仿宋" w:hAnsi="仿宋" w:hint="eastAsia"/>
          <w:sz w:val="32"/>
          <w:szCs w:val="32"/>
        </w:rPr>
        <w:t>从各类数据资源中挖掘分析出特定人群的特殊规律，以此设定具体的指标参数。</w:t>
      </w:r>
      <w:r>
        <w:rPr>
          <w:rFonts w:ascii="仿宋" w:eastAsia="仿宋" w:hAnsi="仿宋" w:hint="eastAsia"/>
          <w:sz w:val="32"/>
          <w:szCs w:val="32"/>
        </w:rPr>
        <w:t>以构建涉毒人员标签为例</w:t>
      </w:r>
      <w:r>
        <w:rPr>
          <w:rFonts w:ascii="仿宋" w:eastAsia="仿宋" w:hAnsi="仿宋" w:hint="eastAsia"/>
          <w:sz w:val="32"/>
          <w:szCs w:val="32"/>
        </w:rPr>
        <w:t>：</w:t>
      </w:r>
    </w:p>
    <w:p w:rsidR="00845ECD" w:rsidRDefault="00E82E99">
      <w:pPr>
        <w:spacing w:line="560" w:lineRule="exact"/>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hint="eastAsia"/>
          <w:sz w:val="32"/>
          <w:szCs w:val="32"/>
        </w:rPr>
        <w:t>首先分析涉毒人员</w:t>
      </w:r>
      <w:r>
        <w:rPr>
          <w:rFonts w:ascii="仿宋" w:eastAsia="仿宋" w:hAnsi="仿宋" w:hint="eastAsia"/>
          <w:sz w:val="32"/>
          <w:szCs w:val="32"/>
        </w:rPr>
        <w:t>的特征。我们以</w:t>
      </w:r>
      <w:r>
        <w:rPr>
          <w:rFonts w:ascii="仿宋" w:eastAsia="仿宋" w:hAnsi="仿宋" w:hint="eastAsia"/>
          <w:sz w:val="32"/>
          <w:szCs w:val="32"/>
        </w:rPr>
        <w:t>2017</w:t>
      </w:r>
      <w:r>
        <w:rPr>
          <w:rFonts w:ascii="仿宋" w:eastAsia="仿宋" w:hAnsi="仿宋" w:hint="eastAsia"/>
          <w:sz w:val="32"/>
          <w:szCs w:val="32"/>
        </w:rPr>
        <w:t>年首次因</w:t>
      </w:r>
      <w:r>
        <w:rPr>
          <w:rFonts w:ascii="仿宋" w:eastAsia="仿宋" w:hAnsi="仿宋" w:hint="eastAsia"/>
          <w:sz w:val="32"/>
          <w:szCs w:val="32"/>
        </w:rPr>
        <w:t>涉</w:t>
      </w:r>
      <w:r>
        <w:rPr>
          <w:rFonts w:ascii="仿宋" w:eastAsia="仿宋" w:hAnsi="仿宋" w:hint="eastAsia"/>
          <w:sz w:val="32"/>
          <w:szCs w:val="32"/>
        </w:rPr>
        <w:t>毒被打击处理的共计</w:t>
      </w:r>
      <w:r>
        <w:rPr>
          <w:rFonts w:ascii="仿宋" w:eastAsia="仿宋" w:hAnsi="仿宋" w:hint="eastAsia"/>
          <w:sz w:val="32"/>
          <w:szCs w:val="32"/>
        </w:rPr>
        <w:t>644</w:t>
      </w:r>
      <w:r>
        <w:rPr>
          <w:rFonts w:ascii="仿宋" w:eastAsia="仿宋" w:hAnsi="仿宋" w:hint="eastAsia"/>
          <w:sz w:val="32"/>
          <w:szCs w:val="32"/>
        </w:rPr>
        <w:t>人</w:t>
      </w:r>
      <w:r>
        <w:rPr>
          <w:rFonts w:ascii="仿宋" w:eastAsia="仿宋" w:hAnsi="仿宋" w:hint="eastAsia"/>
          <w:sz w:val="32"/>
          <w:szCs w:val="32"/>
        </w:rPr>
        <w:t>作为隐性涉毒人员</w:t>
      </w:r>
      <w:r>
        <w:rPr>
          <w:rFonts w:ascii="仿宋" w:eastAsia="仿宋" w:hAnsi="仿宋" w:hint="eastAsia"/>
          <w:sz w:val="32"/>
          <w:szCs w:val="32"/>
        </w:rPr>
        <w:t>样本（因</w:t>
      </w:r>
      <w:r>
        <w:rPr>
          <w:rFonts w:ascii="仿宋" w:eastAsia="仿宋" w:hAnsi="仿宋" w:hint="eastAsia"/>
          <w:sz w:val="32"/>
          <w:szCs w:val="32"/>
        </w:rPr>
        <w:t>涉毒</w:t>
      </w:r>
      <w:r>
        <w:rPr>
          <w:rFonts w:ascii="仿宋" w:eastAsia="仿宋" w:hAnsi="仿宋" w:hint="eastAsia"/>
          <w:sz w:val="32"/>
          <w:szCs w:val="32"/>
        </w:rPr>
        <w:t>人员被抓获成显性人员后，几乎不会使用本人的身份证登记住宿、上网等，因而</w:t>
      </w:r>
      <w:r>
        <w:rPr>
          <w:rFonts w:ascii="仿宋" w:eastAsia="仿宋" w:hAnsi="仿宋" w:hint="eastAsia"/>
          <w:sz w:val="32"/>
          <w:szCs w:val="32"/>
        </w:rPr>
        <w:t>用</w:t>
      </w:r>
      <w:r>
        <w:rPr>
          <w:rFonts w:ascii="仿宋" w:eastAsia="仿宋" w:hAnsi="仿宋" w:hint="eastAsia"/>
          <w:sz w:val="32"/>
          <w:szCs w:val="32"/>
        </w:rPr>
        <w:t>显性涉毒人员作为样本不具代表性），研究其</w:t>
      </w:r>
      <w:r>
        <w:rPr>
          <w:rFonts w:ascii="仿宋" w:eastAsia="仿宋" w:hAnsi="仿宋" w:hint="eastAsia"/>
          <w:sz w:val="32"/>
          <w:szCs w:val="32"/>
        </w:rPr>
        <w:t>2016</w:t>
      </w:r>
      <w:r>
        <w:rPr>
          <w:rFonts w:ascii="仿宋" w:eastAsia="仿宋" w:hAnsi="仿宋" w:hint="eastAsia"/>
          <w:sz w:val="32"/>
          <w:szCs w:val="32"/>
        </w:rPr>
        <w:t>年全年的行为轨迹，再与同时间段内</w:t>
      </w:r>
      <w:r>
        <w:rPr>
          <w:rFonts w:ascii="仿宋" w:eastAsia="仿宋" w:hAnsi="仿宋" w:hint="eastAsia"/>
          <w:sz w:val="32"/>
          <w:szCs w:val="32"/>
        </w:rPr>
        <w:t>扬州市</w:t>
      </w:r>
      <w:r>
        <w:rPr>
          <w:rFonts w:ascii="仿宋" w:eastAsia="仿宋" w:hAnsi="仿宋" w:hint="eastAsia"/>
          <w:sz w:val="32"/>
          <w:szCs w:val="32"/>
        </w:rPr>
        <w:t>所有人历史轨迹作对比，分析得出以</w:t>
      </w:r>
      <w:r>
        <w:rPr>
          <w:rFonts w:ascii="仿宋" w:eastAsia="仿宋" w:hAnsi="仿宋" w:hint="eastAsia"/>
          <w:sz w:val="32"/>
          <w:szCs w:val="32"/>
        </w:rPr>
        <w:t>下几点差异较大的规律性特征。</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人员属性</w:t>
      </w:r>
      <w:r>
        <w:rPr>
          <w:rFonts w:ascii="仿宋" w:eastAsia="仿宋" w:hAnsi="仿宋" w:hint="eastAsia"/>
          <w:sz w:val="32"/>
          <w:szCs w:val="32"/>
        </w:rPr>
        <w:t>特征</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年龄结构</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抽取的</w:t>
      </w:r>
      <w:r>
        <w:rPr>
          <w:rFonts w:ascii="仿宋" w:eastAsia="仿宋" w:hAnsi="仿宋" w:hint="eastAsia"/>
          <w:sz w:val="32"/>
          <w:szCs w:val="32"/>
        </w:rPr>
        <w:t>644</w:t>
      </w:r>
      <w:r>
        <w:rPr>
          <w:rFonts w:ascii="仿宋" w:eastAsia="仿宋" w:hAnsi="仿宋" w:hint="eastAsia"/>
          <w:sz w:val="32"/>
          <w:szCs w:val="32"/>
        </w:rPr>
        <w:t>名</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隐性</w:t>
      </w:r>
      <w:r>
        <w:rPr>
          <w:rFonts w:ascii="仿宋" w:eastAsia="仿宋" w:hAnsi="仿宋" w:hint="eastAsia"/>
          <w:sz w:val="32"/>
          <w:szCs w:val="32"/>
        </w:rPr>
        <w:t>涉毒</w:t>
      </w:r>
      <w:r>
        <w:rPr>
          <w:rFonts w:ascii="仿宋" w:eastAsia="仿宋" w:hAnsi="仿宋" w:hint="eastAsia"/>
          <w:sz w:val="32"/>
          <w:szCs w:val="32"/>
        </w:rPr>
        <w:t>人员样本中，年龄集中在</w:t>
      </w:r>
      <w:r>
        <w:rPr>
          <w:rFonts w:ascii="仿宋" w:eastAsia="仿宋" w:hAnsi="仿宋" w:hint="eastAsia"/>
          <w:sz w:val="32"/>
          <w:szCs w:val="32"/>
        </w:rPr>
        <w:t>18-47</w:t>
      </w:r>
      <w:r>
        <w:rPr>
          <w:rFonts w:ascii="仿宋" w:eastAsia="仿宋" w:hAnsi="仿宋" w:hint="eastAsia"/>
          <w:sz w:val="32"/>
          <w:szCs w:val="32"/>
        </w:rPr>
        <w:t>周岁之间的共计</w:t>
      </w:r>
      <w:r>
        <w:rPr>
          <w:rFonts w:ascii="仿宋" w:eastAsia="仿宋" w:hAnsi="仿宋" w:hint="eastAsia"/>
          <w:sz w:val="32"/>
          <w:szCs w:val="32"/>
        </w:rPr>
        <w:t>592</w:t>
      </w:r>
      <w:r>
        <w:rPr>
          <w:rFonts w:ascii="仿宋" w:eastAsia="仿宋" w:hAnsi="仿宋" w:hint="eastAsia"/>
          <w:sz w:val="32"/>
          <w:szCs w:val="32"/>
        </w:rPr>
        <w:t>人，占比</w:t>
      </w:r>
      <w:r>
        <w:rPr>
          <w:rFonts w:ascii="仿宋" w:eastAsia="仿宋" w:hAnsi="仿宋" w:hint="eastAsia"/>
          <w:sz w:val="32"/>
          <w:szCs w:val="32"/>
        </w:rPr>
        <w:t>9</w:t>
      </w:r>
      <w:r>
        <w:rPr>
          <w:rFonts w:ascii="仿宋" w:eastAsia="仿宋" w:hAnsi="仿宋" w:hint="eastAsia"/>
          <w:sz w:val="32"/>
          <w:szCs w:val="32"/>
        </w:rPr>
        <w:t>2</w:t>
      </w:r>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 xml:space="preserve"> </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drawing>
          <wp:anchor distT="0" distB="0" distL="114300" distR="114300" simplePos="0" relativeHeight="251664384" behindDoc="0" locked="0" layoutInCell="1" allowOverlap="1">
            <wp:simplePos x="0" y="0"/>
            <wp:positionH relativeFrom="column">
              <wp:posOffset>635</wp:posOffset>
            </wp:positionH>
            <wp:positionV relativeFrom="paragraph">
              <wp:posOffset>47625</wp:posOffset>
            </wp:positionV>
            <wp:extent cx="5229225" cy="1958975"/>
            <wp:effectExtent l="8255" t="8890" r="10795" b="13335"/>
            <wp:wrapTopAndBottom/>
            <wp:docPr id="2" name="对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w:t>
      </w:r>
      <w:r w:rsidR="00E82E99">
        <w:rPr>
          <w:rFonts w:ascii="仿宋" w:eastAsia="仿宋" w:hAnsi="仿宋" w:hint="eastAsia"/>
          <w:sz w:val="32"/>
          <w:szCs w:val="32"/>
        </w:rPr>
        <w:t>2</w:t>
      </w:r>
      <w:r w:rsidR="00E82E99">
        <w:rPr>
          <w:rFonts w:ascii="仿宋" w:eastAsia="仿宋" w:hAnsi="仿宋" w:hint="eastAsia"/>
          <w:sz w:val="32"/>
          <w:szCs w:val="32"/>
        </w:rPr>
        <w:t>）</w:t>
      </w:r>
      <w:r w:rsidR="00E82E99">
        <w:rPr>
          <w:rFonts w:ascii="仿宋" w:eastAsia="仿宋" w:hAnsi="仿宋" w:hint="eastAsia"/>
          <w:sz w:val="32"/>
          <w:szCs w:val="32"/>
        </w:rPr>
        <w:t>社保缴费记录</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抽取的</w:t>
      </w:r>
      <w:r>
        <w:rPr>
          <w:rFonts w:ascii="仿宋" w:eastAsia="仿宋" w:hAnsi="仿宋" w:hint="eastAsia"/>
          <w:sz w:val="32"/>
          <w:szCs w:val="32"/>
        </w:rPr>
        <w:t>644</w:t>
      </w:r>
      <w:r>
        <w:rPr>
          <w:rFonts w:ascii="仿宋" w:eastAsia="仿宋" w:hAnsi="仿宋" w:hint="eastAsia"/>
          <w:sz w:val="32"/>
          <w:szCs w:val="32"/>
        </w:rPr>
        <w:t>名</w:t>
      </w:r>
      <w:r>
        <w:rPr>
          <w:rFonts w:ascii="仿宋" w:eastAsia="仿宋" w:hAnsi="仿宋" w:hint="eastAsia"/>
          <w:sz w:val="32"/>
          <w:szCs w:val="32"/>
        </w:rPr>
        <w:t>2016</w:t>
      </w:r>
      <w:r>
        <w:rPr>
          <w:rFonts w:ascii="仿宋" w:eastAsia="仿宋" w:hAnsi="仿宋" w:hint="eastAsia"/>
          <w:sz w:val="32"/>
          <w:szCs w:val="32"/>
        </w:rPr>
        <w:t>年</w:t>
      </w:r>
      <w:r>
        <w:rPr>
          <w:rFonts w:ascii="仿宋" w:eastAsia="仿宋" w:hAnsi="仿宋" w:hint="eastAsia"/>
          <w:sz w:val="32"/>
          <w:szCs w:val="32"/>
        </w:rPr>
        <w:t>隐性</w:t>
      </w:r>
      <w:r>
        <w:rPr>
          <w:rFonts w:ascii="仿宋" w:eastAsia="仿宋" w:hAnsi="仿宋" w:hint="eastAsia"/>
          <w:sz w:val="32"/>
          <w:szCs w:val="32"/>
        </w:rPr>
        <w:t>涉毒</w:t>
      </w:r>
      <w:r>
        <w:rPr>
          <w:rFonts w:ascii="仿宋" w:eastAsia="仿宋" w:hAnsi="仿宋" w:hint="eastAsia"/>
          <w:sz w:val="32"/>
          <w:szCs w:val="32"/>
        </w:rPr>
        <w:t>人员</w:t>
      </w:r>
      <w:r w:rsidR="00436AB6">
        <w:rPr>
          <w:rFonts w:ascii="仿宋" w:eastAsia="仿宋" w:hAnsi="仿宋"/>
          <w:noProof/>
          <w:sz w:val="32"/>
          <w:szCs w:val="32"/>
        </w:rPr>
        <w:drawing>
          <wp:anchor distT="0" distB="0" distL="114300" distR="114300" simplePos="0" relativeHeight="251665408" behindDoc="0" locked="0" layoutInCell="1" allowOverlap="1">
            <wp:simplePos x="0" y="0"/>
            <wp:positionH relativeFrom="column">
              <wp:posOffset>99695</wp:posOffset>
            </wp:positionH>
            <wp:positionV relativeFrom="paragraph">
              <wp:posOffset>741045</wp:posOffset>
            </wp:positionV>
            <wp:extent cx="5431155" cy="1782445"/>
            <wp:effectExtent l="12065" t="10160" r="5080" b="7620"/>
            <wp:wrapTopAndBottom/>
            <wp:docPr id="3" name="对象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ascii="仿宋" w:eastAsia="仿宋" w:hAnsi="仿宋" w:hint="eastAsia"/>
          <w:sz w:val="32"/>
          <w:szCs w:val="32"/>
        </w:rPr>
        <w:t>中</w:t>
      </w:r>
      <w:r>
        <w:rPr>
          <w:rFonts w:ascii="仿宋" w:eastAsia="仿宋" w:hAnsi="仿宋" w:hint="eastAsia"/>
          <w:sz w:val="32"/>
          <w:szCs w:val="32"/>
        </w:rPr>
        <w:t>仅有</w:t>
      </w:r>
      <w:r>
        <w:rPr>
          <w:rFonts w:ascii="仿宋" w:eastAsia="仿宋" w:hAnsi="仿宋" w:hint="eastAsia"/>
          <w:sz w:val="32"/>
          <w:szCs w:val="32"/>
        </w:rPr>
        <w:t>58</w:t>
      </w:r>
      <w:r>
        <w:rPr>
          <w:rFonts w:ascii="仿宋" w:eastAsia="仿宋" w:hAnsi="仿宋" w:hint="eastAsia"/>
          <w:sz w:val="32"/>
          <w:szCs w:val="32"/>
        </w:rPr>
        <w:t>人在</w:t>
      </w:r>
      <w:r>
        <w:rPr>
          <w:rFonts w:ascii="仿宋" w:eastAsia="仿宋" w:hAnsi="仿宋" w:hint="eastAsia"/>
          <w:sz w:val="32"/>
          <w:szCs w:val="32"/>
        </w:rPr>
        <w:t>2016</w:t>
      </w:r>
      <w:r>
        <w:rPr>
          <w:rFonts w:ascii="仿宋" w:eastAsia="仿宋" w:hAnsi="仿宋" w:hint="eastAsia"/>
          <w:sz w:val="32"/>
          <w:szCs w:val="32"/>
        </w:rPr>
        <w:t>年正常缴纳社保，无正常社保缴纳记录的人员占比</w:t>
      </w:r>
      <w:r>
        <w:rPr>
          <w:rFonts w:ascii="仿宋" w:eastAsia="仿宋" w:hAnsi="仿宋" w:hint="eastAsia"/>
          <w:sz w:val="32"/>
          <w:szCs w:val="32"/>
        </w:rPr>
        <w:t>91%</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lastRenderedPageBreak/>
        <w:t>（</w:t>
      </w:r>
      <w:r>
        <w:rPr>
          <w:rFonts w:ascii="仿宋" w:eastAsia="仿宋" w:hAnsi="仿宋" w:hint="eastAsia"/>
          <w:sz w:val="32"/>
          <w:szCs w:val="32"/>
        </w:rPr>
        <w:t>3</w:t>
      </w:r>
      <w:r>
        <w:rPr>
          <w:rFonts w:ascii="仿宋" w:eastAsia="仿宋" w:hAnsi="仿宋" w:hint="eastAsia"/>
          <w:sz w:val="32"/>
          <w:szCs w:val="32"/>
        </w:rPr>
        <w:t>）前科劣迹</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drawing>
          <wp:anchor distT="0" distB="0" distL="114300" distR="114300" simplePos="0" relativeHeight="251666432" behindDoc="0" locked="0" layoutInCell="1" allowOverlap="1">
            <wp:simplePos x="0" y="0"/>
            <wp:positionH relativeFrom="column">
              <wp:posOffset>-123825</wp:posOffset>
            </wp:positionH>
            <wp:positionV relativeFrom="paragraph">
              <wp:posOffset>1632585</wp:posOffset>
            </wp:positionV>
            <wp:extent cx="5781675" cy="1933575"/>
            <wp:effectExtent l="7620" t="12700" r="11430" b="6350"/>
            <wp:wrapTopAndBottom/>
            <wp:docPr id="4" name="对象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涉毒前科人员：将扬州市历史上涉毒人员在除去</w:t>
      </w:r>
      <w:r w:rsidR="00E82E99">
        <w:rPr>
          <w:rFonts w:ascii="仿宋" w:eastAsia="仿宋" w:hAnsi="仿宋" w:hint="eastAsia"/>
          <w:sz w:val="32"/>
          <w:szCs w:val="32"/>
        </w:rPr>
        <w:t>2017</w:t>
      </w:r>
      <w:r w:rsidR="00E82E99">
        <w:rPr>
          <w:rFonts w:ascii="仿宋" w:eastAsia="仿宋" w:hAnsi="仿宋" w:hint="eastAsia"/>
          <w:sz w:val="32"/>
          <w:szCs w:val="32"/>
        </w:rPr>
        <w:t>年首次因涉毒被查处的人员后，对其因复吸被查获的情况进行分析，得出复吸被查获率为</w:t>
      </w:r>
      <w:r w:rsidR="00E82E99">
        <w:rPr>
          <w:rFonts w:ascii="仿宋" w:eastAsia="仿宋" w:hAnsi="仿宋" w:hint="eastAsia"/>
          <w:sz w:val="32"/>
          <w:szCs w:val="32"/>
        </w:rPr>
        <w:t>48%</w:t>
      </w:r>
      <w:r w:rsidR="00E82E99">
        <w:rPr>
          <w:rFonts w:ascii="仿宋" w:eastAsia="仿宋" w:hAnsi="仿宋" w:hint="eastAsia"/>
          <w:sz w:val="32"/>
          <w:szCs w:val="32"/>
        </w:rPr>
        <w:t>。而在实际工作中，更多复吸人员并未被公安机关查获，所以涉毒人员的实际复吸率要远</w:t>
      </w:r>
      <w:r w:rsidR="00E82E99">
        <w:rPr>
          <w:rFonts w:ascii="仿宋" w:eastAsia="仿宋" w:hAnsi="仿宋" w:hint="eastAsia"/>
          <w:sz w:val="32"/>
          <w:szCs w:val="32"/>
        </w:rPr>
        <w:t>高于</w:t>
      </w:r>
      <w:r w:rsidR="00E82E99">
        <w:rPr>
          <w:rFonts w:ascii="仿宋" w:eastAsia="仿宋" w:hAnsi="仿宋" w:hint="eastAsia"/>
          <w:sz w:val="32"/>
          <w:szCs w:val="32"/>
        </w:rPr>
        <w:t>48%</w:t>
      </w:r>
      <w:r w:rsidR="00E82E99">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w:t>
      </w:r>
      <w:r>
        <w:rPr>
          <w:rFonts w:ascii="仿宋" w:eastAsia="仿宋" w:hAnsi="仿宋" w:hint="eastAsia"/>
          <w:sz w:val="32"/>
          <w:szCs w:val="32"/>
        </w:rPr>
        <w:t>活动轨迹</w:t>
      </w:r>
      <w:r>
        <w:rPr>
          <w:rFonts w:ascii="仿宋" w:eastAsia="仿宋" w:hAnsi="仿宋" w:hint="eastAsia"/>
          <w:sz w:val="32"/>
          <w:szCs w:val="32"/>
        </w:rPr>
        <w:t>特征</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登记旅馆入住时间</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我市</w:t>
      </w:r>
      <w:r>
        <w:rPr>
          <w:rFonts w:ascii="仿宋" w:eastAsia="仿宋" w:hAnsi="仿宋" w:hint="eastAsia"/>
          <w:sz w:val="32"/>
          <w:szCs w:val="32"/>
        </w:rPr>
        <w:t>2016</w:t>
      </w:r>
      <w:r>
        <w:rPr>
          <w:rFonts w:ascii="仿宋" w:eastAsia="仿宋" w:hAnsi="仿宋" w:hint="eastAsia"/>
          <w:sz w:val="32"/>
          <w:szCs w:val="32"/>
        </w:rPr>
        <w:t>年全年登记旅馆住宿共计</w:t>
      </w:r>
      <w:r>
        <w:rPr>
          <w:rFonts w:ascii="仿宋" w:eastAsia="仿宋" w:hAnsi="仿宋" w:hint="eastAsia"/>
          <w:sz w:val="32"/>
          <w:szCs w:val="32"/>
        </w:rPr>
        <w:t>6384027</w:t>
      </w:r>
      <w:r>
        <w:rPr>
          <w:rFonts w:ascii="仿宋" w:eastAsia="仿宋" w:hAnsi="仿宋" w:hint="eastAsia"/>
          <w:sz w:val="32"/>
          <w:szCs w:val="32"/>
        </w:rPr>
        <w:t>人次，经分析入住时间集中在</w:t>
      </w:r>
      <w:r>
        <w:rPr>
          <w:rFonts w:ascii="仿宋" w:eastAsia="仿宋" w:hAnsi="仿宋" w:hint="eastAsia"/>
          <w:sz w:val="32"/>
          <w:szCs w:val="32"/>
        </w:rPr>
        <w:t>12</w:t>
      </w:r>
      <w:r>
        <w:rPr>
          <w:rFonts w:ascii="仿宋" w:eastAsia="仿宋" w:hAnsi="仿宋" w:hint="eastAsia"/>
          <w:sz w:val="32"/>
          <w:szCs w:val="32"/>
        </w:rPr>
        <w:t>时</w:t>
      </w:r>
      <w:r>
        <w:rPr>
          <w:rFonts w:ascii="仿宋" w:eastAsia="仿宋" w:hAnsi="仿宋" w:hint="eastAsia"/>
          <w:sz w:val="32"/>
          <w:szCs w:val="32"/>
        </w:rPr>
        <w:t>-20</w:t>
      </w:r>
      <w:r>
        <w:rPr>
          <w:rFonts w:ascii="仿宋" w:eastAsia="仿宋" w:hAnsi="仿宋" w:hint="eastAsia"/>
          <w:sz w:val="32"/>
          <w:szCs w:val="32"/>
        </w:rPr>
        <w:t>时之间，在</w:t>
      </w:r>
      <w:r>
        <w:rPr>
          <w:rFonts w:ascii="仿宋" w:eastAsia="仿宋" w:hAnsi="仿宋" w:hint="eastAsia"/>
          <w:sz w:val="32"/>
          <w:szCs w:val="32"/>
        </w:rPr>
        <w:t>20</w:t>
      </w:r>
      <w:r>
        <w:rPr>
          <w:rFonts w:ascii="仿宋" w:eastAsia="仿宋" w:hAnsi="仿宋" w:hint="eastAsia"/>
          <w:sz w:val="32"/>
          <w:szCs w:val="32"/>
        </w:rPr>
        <w:t>时</w:t>
      </w:r>
      <w:r>
        <w:rPr>
          <w:rFonts w:ascii="仿宋" w:eastAsia="仿宋" w:hAnsi="仿宋" w:hint="eastAsia"/>
          <w:sz w:val="32"/>
          <w:szCs w:val="32"/>
        </w:rPr>
        <w:t>-</w:t>
      </w:r>
      <w:r>
        <w:rPr>
          <w:rFonts w:ascii="仿宋" w:eastAsia="仿宋" w:hAnsi="仿宋" w:hint="eastAsia"/>
          <w:sz w:val="32"/>
          <w:szCs w:val="32"/>
        </w:rPr>
        <w:t>次日</w:t>
      </w:r>
      <w:r>
        <w:rPr>
          <w:rFonts w:ascii="仿宋" w:eastAsia="仿宋" w:hAnsi="仿宋" w:hint="eastAsia"/>
          <w:sz w:val="32"/>
          <w:szCs w:val="32"/>
        </w:rPr>
        <w:t>4</w:t>
      </w:r>
      <w:r>
        <w:rPr>
          <w:rFonts w:ascii="仿宋" w:eastAsia="仿宋" w:hAnsi="仿宋" w:hint="eastAsia"/>
          <w:sz w:val="32"/>
          <w:szCs w:val="32"/>
        </w:rPr>
        <w:t>时之间入住的呈明显下降趋势。对比</w:t>
      </w:r>
      <w:r>
        <w:rPr>
          <w:rFonts w:ascii="仿宋" w:eastAsia="仿宋" w:hAnsi="仿宋" w:hint="eastAsia"/>
          <w:sz w:val="32"/>
          <w:szCs w:val="32"/>
        </w:rPr>
        <w:t>644</w:t>
      </w:r>
      <w:r>
        <w:rPr>
          <w:rFonts w:ascii="仿宋" w:eastAsia="仿宋" w:hAnsi="仿宋" w:hint="eastAsia"/>
          <w:sz w:val="32"/>
          <w:szCs w:val="32"/>
        </w:rPr>
        <w:t>名隐性涉毒人员在</w:t>
      </w:r>
      <w:r>
        <w:rPr>
          <w:rFonts w:ascii="仿宋" w:eastAsia="仿宋" w:hAnsi="仿宋" w:hint="eastAsia"/>
          <w:sz w:val="32"/>
          <w:szCs w:val="32"/>
        </w:rPr>
        <w:t>2016</w:t>
      </w:r>
      <w:r>
        <w:rPr>
          <w:rFonts w:ascii="仿宋" w:eastAsia="仿宋" w:hAnsi="仿宋" w:hint="eastAsia"/>
          <w:sz w:val="32"/>
          <w:szCs w:val="32"/>
        </w:rPr>
        <w:t>年的旅馆住宿记录，我们发现上述涉毒人员的登记入住时间在</w:t>
      </w:r>
      <w:r>
        <w:rPr>
          <w:rFonts w:ascii="仿宋" w:eastAsia="仿宋" w:hAnsi="仿宋" w:hint="eastAsia"/>
          <w:sz w:val="32"/>
          <w:szCs w:val="32"/>
        </w:rPr>
        <w:t>2</w:t>
      </w:r>
      <w:r>
        <w:rPr>
          <w:rFonts w:ascii="仿宋" w:eastAsia="仿宋" w:hAnsi="仿宋" w:hint="eastAsia"/>
          <w:sz w:val="32"/>
          <w:szCs w:val="32"/>
        </w:rPr>
        <w:t>时</w:t>
      </w:r>
      <w:r>
        <w:rPr>
          <w:rFonts w:ascii="仿宋" w:eastAsia="仿宋" w:hAnsi="仿宋" w:hint="eastAsia"/>
          <w:sz w:val="32"/>
          <w:szCs w:val="32"/>
        </w:rPr>
        <w:t>-</w:t>
      </w:r>
      <w:r>
        <w:rPr>
          <w:rFonts w:ascii="仿宋" w:eastAsia="仿宋" w:hAnsi="仿宋" w:hint="eastAsia"/>
          <w:sz w:val="32"/>
          <w:szCs w:val="32"/>
        </w:rPr>
        <w:t>次日</w:t>
      </w:r>
      <w:r>
        <w:rPr>
          <w:rFonts w:ascii="仿宋" w:eastAsia="仿宋" w:hAnsi="仿宋" w:hint="eastAsia"/>
          <w:sz w:val="32"/>
          <w:szCs w:val="32"/>
        </w:rPr>
        <w:t>3</w:t>
      </w:r>
      <w:r>
        <w:rPr>
          <w:rFonts w:ascii="仿宋" w:eastAsia="仿宋" w:hAnsi="仿宋" w:hint="eastAsia"/>
          <w:sz w:val="32"/>
          <w:szCs w:val="32"/>
        </w:rPr>
        <w:t>时之间达到峰值，明显有异于常人。</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lastRenderedPageBreak/>
        <w:drawing>
          <wp:anchor distT="0" distB="0" distL="114300" distR="114300" simplePos="0" relativeHeight="251659264" behindDoc="0" locked="0" layoutInCell="1" allowOverlap="1">
            <wp:simplePos x="0" y="0"/>
            <wp:positionH relativeFrom="page">
              <wp:posOffset>3963670</wp:posOffset>
            </wp:positionH>
            <wp:positionV relativeFrom="page">
              <wp:posOffset>1576705</wp:posOffset>
            </wp:positionV>
            <wp:extent cx="3044190" cy="1480820"/>
            <wp:effectExtent l="0" t="0" r="0" b="0"/>
            <wp:wrapTopAndBottom/>
            <wp:docPr id="5" name="图片框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90"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仿宋" w:eastAsia="仿宋" w:hAnsi="仿宋"/>
          <w:noProof/>
          <w:sz w:val="32"/>
          <w:szCs w:val="32"/>
        </w:rPr>
        <w:drawing>
          <wp:anchor distT="0" distB="0" distL="114300" distR="114300" simplePos="0" relativeHeight="251658240" behindDoc="0" locked="0" layoutInCell="1" allowOverlap="1">
            <wp:simplePos x="0" y="0"/>
            <wp:positionH relativeFrom="page">
              <wp:posOffset>848995</wp:posOffset>
            </wp:positionH>
            <wp:positionV relativeFrom="page">
              <wp:posOffset>1571625</wp:posOffset>
            </wp:positionV>
            <wp:extent cx="3042285" cy="1501140"/>
            <wp:effectExtent l="0" t="0" r="0" b="0"/>
            <wp:wrapTopAndBottom/>
            <wp:docPr id="6"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28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w:t>
      </w:r>
      <w:r w:rsidR="00E82E99">
        <w:rPr>
          <w:rFonts w:ascii="仿宋" w:eastAsia="仿宋" w:hAnsi="仿宋" w:hint="eastAsia"/>
          <w:sz w:val="32"/>
          <w:szCs w:val="32"/>
        </w:rPr>
        <w:t>2</w:t>
      </w:r>
      <w:r w:rsidR="00E82E99">
        <w:rPr>
          <w:rFonts w:ascii="仿宋" w:eastAsia="仿宋" w:hAnsi="仿宋" w:hint="eastAsia"/>
          <w:sz w:val="32"/>
          <w:szCs w:val="32"/>
        </w:rPr>
        <w:t>）</w:t>
      </w:r>
      <w:r w:rsidR="00E82E99">
        <w:rPr>
          <w:rFonts w:ascii="仿宋" w:eastAsia="仿宋" w:hAnsi="仿宋" w:hint="eastAsia"/>
          <w:sz w:val="32"/>
          <w:szCs w:val="32"/>
        </w:rPr>
        <w:t>网吧上网下线时间</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drawing>
          <wp:anchor distT="0" distB="0" distL="114300" distR="114300" simplePos="0" relativeHeight="251660288" behindDoc="0" locked="0" layoutInCell="1" allowOverlap="1">
            <wp:simplePos x="0" y="0"/>
            <wp:positionH relativeFrom="page">
              <wp:posOffset>924560</wp:posOffset>
            </wp:positionH>
            <wp:positionV relativeFrom="page">
              <wp:posOffset>4937125</wp:posOffset>
            </wp:positionV>
            <wp:extent cx="2910205" cy="1436370"/>
            <wp:effectExtent l="0" t="0" r="0" b="0"/>
            <wp:wrapTopAndBottom/>
            <wp:docPr id="7" name="图片框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020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我市</w:t>
      </w:r>
      <w:r w:rsidR="00E82E99">
        <w:rPr>
          <w:rFonts w:ascii="仿宋" w:eastAsia="仿宋" w:hAnsi="仿宋" w:hint="eastAsia"/>
          <w:sz w:val="32"/>
          <w:szCs w:val="32"/>
        </w:rPr>
        <w:t>2016</w:t>
      </w:r>
      <w:r w:rsidR="00E82E99">
        <w:rPr>
          <w:rFonts w:ascii="仿宋" w:eastAsia="仿宋" w:hAnsi="仿宋" w:hint="eastAsia"/>
          <w:sz w:val="32"/>
          <w:szCs w:val="32"/>
        </w:rPr>
        <w:t>年全年网吧上网人员共计</w:t>
      </w:r>
      <w:r w:rsidR="00E82E99">
        <w:rPr>
          <w:rFonts w:ascii="仿宋" w:eastAsia="仿宋" w:hAnsi="仿宋" w:hint="eastAsia"/>
          <w:sz w:val="32"/>
          <w:szCs w:val="32"/>
        </w:rPr>
        <w:t>20256512</w:t>
      </w:r>
      <w:r w:rsidR="00E82E99">
        <w:rPr>
          <w:rFonts w:ascii="仿宋" w:eastAsia="仿宋" w:hAnsi="仿宋" w:hint="eastAsia"/>
          <w:sz w:val="32"/>
          <w:szCs w:val="32"/>
        </w:rPr>
        <w:t>人次，下线在</w:t>
      </w:r>
      <w:r w:rsidR="00E82E99">
        <w:rPr>
          <w:rFonts w:ascii="仿宋" w:eastAsia="仿宋" w:hAnsi="仿宋" w:hint="eastAsia"/>
          <w:sz w:val="32"/>
          <w:szCs w:val="32"/>
        </w:rPr>
        <w:t>4</w:t>
      </w:r>
      <w:r w:rsidR="00E82E99">
        <w:rPr>
          <w:rFonts w:ascii="仿宋" w:eastAsia="仿宋" w:hAnsi="仿宋" w:hint="eastAsia"/>
          <w:sz w:val="32"/>
          <w:szCs w:val="32"/>
        </w:rPr>
        <w:t>时</w:t>
      </w:r>
      <w:r w:rsidR="00E82E99">
        <w:rPr>
          <w:rFonts w:ascii="仿宋" w:eastAsia="仿宋" w:hAnsi="仿宋" w:hint="eastAsia"/>
          <w:sz w:val="32"/>
          <w:szCs w:val="32"/>
        </w:rPr>
        <w:t>-8</w:t>
      </w:r>
      <w:r w:rsidR="00E82E99">
        <w:rPr>
          <w:rFonts w:ascii="仿宋" w:eastAsia="仿宋" w:hAnsi="仿宋" w:hint="eastAsia"/>
          <w:sz w:val="32"/>
          <w:szCs w:val="32"/>
        </w:rPr>
        <w:t>时之间处于低谷。对比</w:t>
      </w:r>
      <w:r w:rsidR="00E82E99">
        <w:rPr>
          <w:rFonts w:ascii="仿宋" w:eastAsia="仿宋" w:hAnsi="仿宋" w:hint="eastAsia"/>
          <w:sz w:val="32"/>
          <w:szCs w:val="32"/>
        </w:rPr>
        <w:t>644</w:t>
      </w:r>
      <w:r w:rsidR="00E82E99">
        <w:rPr>
          <w:rFonts w:ascii="仿宋" w:eastAsia="仿宋" w:hAnsi="仿宋" w:hint="eastAsia"/>
          <w:sz w:val="32"/>
          <w:szCs w:val="32"/>
        </w:rPr>
        <w:t>名隐性涉毒人员在</w:t>
      </w:r>
      <w:r w:rsidR="00E82E99">
        <w:rPr>
          <w:rFonts w:ascii="仿宋" w:eastAsia="仿宋" w:hAnsi="仿宋" w:hint="eastAsia"/>
          <w:sz w:val="32"/>
          <w:szCs w:val="32"/>
        </w:rPr>
        <w:t>2016</w:t>
      </w:r>
      <w:r w:rsidR="00E82E99">
        <w:rPr>
          <w:rFonts w:ascii="仿宋" w:eastAsia="仿宋" w:hAnsi="仿宋" w:hint="eastAsia"/>
          <w:sz w:val="32"/>
          <w:szCs w:val="32"/>
        </w:rPr>
        <w:t>年的网吧下线记录，我们发现上述涉毒人员的下线时间在</w:t>
      </w:r>
      <w:r w:rsidR="00E82E99">
        <w:rPr>
          <w:rFonts w:ascii="仿宋" w:eastAsia="仿宋" w:hAnsi="仿宋" w:hint="eastAsia"/>
          <w:sz w:val="32"/>
          <w:szCs w:val="32"/>
        </w:rPr>
        <w:t>6</w:t>
      </w:r>
      <w:r w:rsidR="00E82E99">
        <w:rPr>
          <w:rFonts w:ascii="仿宋" w:eastAsia="仿宋" w:hAnsi="仿宋" w:hint="eastAsia"/>
          <w:sz w:val="32"/>
          <w:szCs w:val="32"/>
        </w:rPr>
        <w:t>时</w:t>
      </w:r>
      <w:r w:rsidR="00E82E99">
        <w:rPr>
          <w:rFonts w:ascii="仿宋" w:eastAsia="仿宋" w:hAnsi="仿宋" w:hint="eastAsia"/>
          <w:sz w:val="32"/>
          <w:szCs w:val="32"/>
        </w:rPr>
        <w:t>-8</w:t>
      </w:r>
      <w:r w:rsidR="00E82E99">
        <w:rPr>
          <w:rFonts w:ascii="仿宋" w:eastAsia="仿宋" w:hAnsi="仿宋" w:hint="eastAsia"/>
          <w:sz w:val="32"/>
          <w:szCs w:val="32"/>
        </w:rPr>
        <w:t>时之间达到峰值，明显有异于常人。</w:t>
      </w:r>
    </w:p>
    <w:p w:rsidR="00845ECD" w:rsidRDefault="00E82E99">
      <w:pPr>
        <w:numPr>
          <w:ilvl w:val="0"/>
          <w:numId w:val="1"/>
        </w:numPr>
        <w:spacing w:line="560" w:lineRule="exact"/>
        <w:ind w:firstLineChars="200" w:firstLine="640"/>
        <w:rPr>
          <w:rFonts w:ascii="仿宋" w:eastAsia="仿宋" w:hAnsi="仿宋"/>
          <w:sz w:val="32"/>
          <w:szCs w:val="32"/>
        </w:rPr>
      </w:pPr>
      <w:r>
        <w:rPr>
          <w:rFonts w:ascii="仿宋" w:eastAsia="仿宋" w:hAnsi="仿宋" w:hint="eastAsia"/>
          <w:sz w:val="32"/>
          <w:szCs w:val="32"/>
        </w:rPr>
        <w:t>公寓楼进出门时间</w:t>
      </w:r>
    </w:p>
    <w:p w:rsidR="00845ECD" w:rsidRDefault="00E82E99">
      <w:pPr>
        <w:spacing w:line="560" w:lineRule="exact"/>
        <w:ind w:firstLineChars="131" w:firstLine="419"/>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rPr>
        <w:t>由隐性涉毒人员网吧上网、旅馆住宿的活动轨迹特征可以分析出，涉毒人员在夜间的活跃度远高于常人。可将夜间</w:t>
      </w:r>
      <w:r>
        <w:rPr>
          <w:rFonts w:ascii="仿宋" w:eastAsia="仿宋" w:hAnsi="仿宋" w:hint="eastAsia"/>
          <w:sz w:val="32"/>
          <w:szCs w:val="32"/>
        </w:rPr>
        <w:t>2</w:t>
      </w:r>
      <w:r>
        <w:rPr>
          <w:rFonts w:ascii="仿宋" w:eastAsia="仿宋" w:hAnsi="仿宋" w:hint="eastAsia"/>
          <w:sz w:val="32"/>
          <w:szCs w:val="32"/>
        </w:rPr>
        <w:t>时—</w:t>
      </w:r>
      <w:r>
        <w:rPr>
          <w:rFonts w:ascii="仿宋" w:eastAsia="仿宋" w:hAnsi="仿宋" w:hint="eastAsia"/>
          <w:sz w:val="32"/>
          <w:szCs w:val="32"/>
        </w:rPr>
        <w:t>6</w:t>
      </w:r>
      <w:r>
        <w:rPr>
          <w:rFonts w:ascii="仿宋" w:eastAsia="仿宋" w:hAnsi="仿宋" w:hint="eastAsia"/>
          <w:sz w:val="32"/>
          <w:szCs w:val="32"/>
        </w:rPr>
        <w:t>时进出公寓楼作为一项指标参数。</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drawing>
          <wp:anchor distT="0" distB="0" distL="114300" distR="114300" simplePos="0" relativeHeight="251661312" behindDoc="0" locked="0" layoutInCell="1" allowOverlap="1">
            <wp:simplePos x="0" y="0"/>
            <wp:positionH relativeFrom="page">
              <wp:posOffset>3924935</wp:posOffset>
            </wp:positionH>
            <wp:positionV relativeFrom="page">
              <wp:posOffset>4947285</wp:posOffset>
            </wp:positionV>
            <wp:extent cx="2900045" cy="1431290"/>
            <wp:effectExtent l="0" t="0" r="0" b="0"/>
            <wp:wrapTopAndBottom/>
            <wp:docPr id="8" name="图片框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0045"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3</w:t>
      </w:r>
      <w:r w:rsidR="00E82E99">
        <w:rPr>
          <w:rFonts w:ascii="仿宋" w:eastAsia="仿宋" w:hAnsi="仿宋" w:hint="eastAsia"/>
          <w:sz w:val="32"/>
          <w:szCs w:val="32"/>
        </w:rPr>
        <w:t>、特殊行为特征</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1</w:t>
      </w:r>
      <w:r>
        <w:rPr>
          <w:rFonts w:ascii="仿宋" w:eastAsia="仿宋" w:hAnsi="仿宋" w:hint="eastAsia"/>
          <w:sz w:val="32"/>
          <w:szCs w:val="32"/>
        </w:rPr>
        <w:t>）</w:t>
      </w:r>
      <w:r>
        <w:rPr>
          <w:rFonts w:ascii="仿宋" w:eastAsia="仿宋" w:hAnsi="仿宋" w:hint="eastAsia"/>
          <w:sz w:val="32"/>
          <w:szCs w:val="32"/>
        </w:rPr>
        <w:t>涉警</w:t>
      </w:r>
      <w:r>
        <w:rPr>
          <w:rFonts w:ascii="仿宋" w:eastAsia="仿宋" w:hAnsi="仿宋" w:hint="eastAsia"/>
          <w:sz w:val="32"/>
          <w:szCs w:val="32"/>
        </w:rPr>
        <w:t>行为</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lastRenderedPageBreak/>
        <w:drawing>
          <wp:anchor distT="0" distB="0" distL="114300" distR="114300" simplePos="0" relativeHeight="251662336" behindDoc="0" locked="0" layoutInCell="1" allowOverlap="1">
            <wp:simplePos x="0" y="0"/>
            <wp:positionH relativeFrom="column">
              <wp:posOffset>195580</wp:posOffset>
            </wp:positionH>
            <wp:positionV relativeFrom="paragraph">
              <wp:posOffset>1172845</wp:posOffset>
            </wp:positionV>
            <wp:extent cx="4639310" cy="2084705"/>
            <wp:effectExtent l="0" t="0" r="0" b="0"/>
            <wp:wrapTopAndBottom/>
            <wp:docPr id="9" name="图片框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931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644</w:t>
      </w:r>
      <w:r w:rsidR="00E82E99">
        <w:rPr>
          <w:rFonts w:ascii="仿宋" w:eastAsia="仿宋" w:hAnsi="仿宋" w:hint="eastAsia"/>
          <w:sz w:val="32"/>
          <w:szCs w:val="32"/>
        </w:rPr>
        <w:t>名隐性</w:t>
      </w:r>
      <w:r w:rsidR="00E82E99">
        <w:rPr>
          <w:rFonts w:ascii="仿宋" w:eastAsia="仿宋" w:hAnsi="仿宋" w:hint="eastAsia"/>
          <w:sz w:val="32"/>
          <w:szCs w:val="32"/>
        </w:rPr>
        <w:t>涉毒</w:t>
      </w:r>
      <w:r w:rsidR="00E82E99">
        <w:rPr>
          <w:rFonts w:ascii="仿宋" w:eastAsia="仿宋" w:hAnsi="仿宋" w:hint="eastAsia"/>
          <w:sz w:val="32"/>
          <w:szCs w:val="32"/>
        </w:rPr>
        <w:t>人员在</w:t>
      </w:r>
      <w:r w:rsidR="00E82E99">
        <w:rPr>
          <w:rFonts w:ascii="仿宋" w:eastAsia="仿宋" w:hAnsi="仿宋" w:hint="eastAsia"/>
          <w:color w:val="FF0000"/>
          <w:sz w:val="32"/>
          <w:szCs w:val="32"/>
        </w:rPr>
        <w:t>2016</w:t>
      </w:r>
      <w:r w:rsidR="00E82E99">
        <w:rPr>
          <w:rFonts w:ascii="仿宋" w:eastAsia="仿宋" w:hAnsi="仿宋" w:hint="eastAsia"/>
          <w:color w:val="FF0000"/>
          <w:sz w:val="32"/>
          <w:szCs w:val="32"/>
        </w:rPr>
        <w:t>年</w:t>
      </w:r>
      <w:r w:rsidR="00E82E99">
        <w:rPr>
          <w:rFonts w:ascii="仿宋" w:eastAsia="仿宋" w:hAnsi="仿宋" w:hint="eastAsia"/>
          <w:sz w:val="32"/>
          <w:szCs w:val="32"/>
        </w:rPr>
        <w:t>共计涉警记录</w:t>
      </w:r>
      <w:r w:rsidR="00E82E99">
        <w:rPr>
          <w:rFonts w:ascii="仿宋" w:eastAsia="仿宋" w:hAnsi="仿宋" w:hint="eastAsia"/>
          <w:sz w:val="32"/>
          <w:szCs w:val="32"/>
        </w:rPr>
        <w:t>561</w:t>
      </w:r>
      <w:r w:rsidR="00E82E99">
        <w:rPr>
          <w:rFonts w:ascii="仿宋" w:eastAsia="仿宋" w:hAnsi="仿宋" w:hint="eastAsia"/>
          <w:sz w:val="32"/>
          <w:szCs w:val="32"/>
        </w:rPr>
        <w:t>人次，人均</w:t>
      </w:r>
      <w:r w:rsidR="00E82E99">
        <w:rPr>
          <w:rFonts w:ascii="仿宋" w:eastAsia="仿宋" w:hAnsi="仿宋" w:hint="eastAsia"/>
          <w:sz w:val="32"/>
          <w:szCs w:val="32"/>
        </w:rPr>
        <w:t>0.87</w:t>
      </w:r>
      <w:r w:rsidR="00E82E99">
        <w:rPr>
          <w:rFonts w:ascii="仿宋" w:eastAsia="仿宋" w:hAnsi="仿宋" w:hint="eastAsia"/>
          <w:sz w:val="32"/>
          <w:szCs w:val="32"/>
        </w:rPr>
        <w:t>次涉警记录；而扬州市年龄在</w:t>
      </w:r>
      <w:r w:rsidR="00E82E99">
        <w:rPr>
          <w:rFonts w:ascii="仿宋" w:eastAsia="仿宋" w:hAnsi="仿宋" w:hint="eastAsia"/>
          <w:sz w:val="32"/>
          <w:szCs w:val="32"/>
        </w:rPr>
        <w:t>18-47</w:t>
      </w:r>
      <w:r w:rsidR="00E82E99">
        <w:rPr>
          <w:rFonts w:ascii="仿宋" w:eastAsia="仿宋" w:hAnsi="仿宋" w:hint="eastAsia"/>
          <w:sz w:val="32"/>
          <w:szCs w:val="32"/>
        </w:rPr>
        <w:t>周岁的</w:t>
      </w:r>
      <w:r w:rsidR="00E82E99">
        <w:rPr>
          <w:rFonts w:ascii="仿宋" w:eastAsia="仿宋" w:hAnsi="仿宋" w:hint="eastAsia"/>
          <w:sz w:val="32"/>
          <w:szCs w:val="32"/>
        </w:rPr>
        <w:t>1273849</w:t>
      </w:r>
      <w:r w:rsidR="00E82E99">
        <w:rPr>
          <w:rFonts w:ascii="仿宋" w:eastAsia="仿宋" w:hAnsi="仿宋" w:hint="eastAsia"/>
          <w:sz w:val="32"/>
          <w:szCs w:val="32"/>
        </w:rPr>
        <w:t>名实有人口中，人均涉警</w:t>
      </w:r>
      <w:r w:rsidR="00E82E99">
        <w:rPr>
          <w:rFonts w:ascii="仿宋" w:eastAsia="仿宋" w:hAnsi="仿宋" w:hint="eastAsia"/>
          <w:sz w:val="32"/>
          <w:szCs w:val="32"/>
        </w:rPr>
        <w:t>0.25</w:t>
      </w:r>
      <w:r w:rsidR="00E82E99">
        <w:rPr>
          <w:rFonts w:ascii="仿宋" w:eastAsia="仿宋" w:hAnsi="仿宋" w:hint="eastAsia"/>
          <w:sz w:val="32"/>
          <w:szCs w:val="32"/>
        </w:rPr>
        <w:t>次。</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2</w:t>
      </w:r>
      <w:r>
        <w:rPr>
          <w:rFonts w:ascii="仿宋" w:eastAsia="仿宋" w:hAnsi="仿宋" w:hint="eastAsia"/>
          <w:sz w:val="32"/>
          <w:szCs w:val="32"/>
        </w:rPr>
        <w:t>）</w:t>
      </w:r>
      <w:r>
        <w:rPr>
          <w:rFonts w:ascii="仿宋" w:eastAsia="仿宋" w:hAnsi="仿宋" w:hint="eastAsia"/>
          <w:sz w:val="32"/>
          <w:szCs w:val="32"/>
        </w:rPr>
        <w:t>特</w:t>
      </w:r>
      <w:r>
        <w:rPr>
          <w:rFonts w:ascii="仿宋" w:eastAsia="仿宋" w:hAnsi="仿宋" w:hint="eastAsia"/>
          <w:sz w:val="32"/>
          <w:szCs w:val="32"/>
        </w:rPr>
        <w:t>定通联行为</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抽取</w:t>
      </w:r>
      <w:r>
        <w:rPr>
          <w:rFonts w:ascii="仿宋" w:eastAsia="仿宋" w:hAnsi="仿宋" w:hint="eastAsia"/>
          <w:sz w:val="32"/>
          <w:szCs w:val="32"/>
        </w:rPr>
        <w:t>2017</w:t>
      </w:r>
      <w:r>
        <w:rPr>
          <w:rFonts w:ascii="仿宋" w:eastAsia="仿宋" w:hAnsi="仿宋" w:hint="eastAsia"/>
          <w:sz w:val="32"/>
          <w:szCs w:val="32"/>
        </w:rPr>
        <w:t>年</w:t>
      </w:r>
      <w:r>
        <w:rPr>
          <w:rFonts w:ascii="仿宋" w:eastAsia="仿宋" w:hAnsi="仿宋" w:hint="eastAsia"/>
          <w:sz w:val="32"/>
          <w:szCs w:val="32"/>
        </w:rPr>
        <w:t>7</w:t>
      </w:r>
      <w:r>
        <w:rPr>
          <w:rFonts w:ascii="仿宋" w:eastAsia="仿宋" w:hAnsi="仿宋" w:hint="eastAsia"/>
          <w:sz w:val="32"/>
          <w:szCs w:val="32"/>
        </w:rPr>
        <w:t>月以来</w:t>
      </w:r>
      <w:r>
        <w:rPr>
          <w:rFonts w:ascii="仿宋" w:eastAsia="仿宋" w:hAnsi="仿宋" w:hint="eastAsia"/>
          <w:sz w:val="32"/>
          <w:szCs w:val="32"/>
        </w:rPr>
        <w:t>蛛网库内涉毒人员</w:t>
      </w:r>
      <w:r>
        <w:rPr>
          <w:rFonts w:ascii="仿宋" w:eastAsia="仿宋" w:hAnsi="仿宋" w:hint="eastAsia"/>
          <w:sz w:val="32"/>
          <w:szCs w:val="32"/>
        </w:rPr>
        <w:t>211</w:t>
      </w:r>
      <w:r>
        <w:rPr>
          <w:rFonts w:ascii="仿宋" w:eastAsia="仿宋" w:hAnsi="仿宋" w:hint="eastAsia"/>
          <w:sz w:val="32"/>
          <w:szCs w:val="32"/>
        </w:rPr>
        <w:t>人，提取这</w:t>
      </w:r>
      <w:r>
        <w:rPr>
          <w:rFonts w:ascii="仿宋" w:eastAsia="仿宋" w:hAnsi="仿宋" w:hint="eastAsia"/>
          <w:sz w:val="32"/>
          <w:szCs w:val="32"/>
        </w:rPr>
        <w:t>211</w:t>
      </w:r>
      <w:r>
        <w:rPr>
          <w:rFonts w:ascii="仿宋" w:eastAsia="仿宋" w:hAnsi="仿宋" w:hint="eastAsia"/>
          <w:sz w:val="32"/>
          <w:szCs w:val="32"/>
        </w:rPr>
        <w:t>名涉毒人员的通讯录号码，对通讯录中能够比中身份的人员进行比对。</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①</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名涉毒人员中的一名涉毒人员存为关系人的</w:t>
      </w:r>
      <w:r>
        <w:rPr>
          <w:rFonts w:ascii="仿宋" w:eastAsia="仿宋" w:hAnsi="仿宋" w:hint="eastAsia"/>
          <w:sz w:val="32"/>
          <w:szCs w:val="32"/>
        </w:rPr>
        <w:t>3558</w:t>
      </w:r>
      <w:r>
        <w:rPr>
          <w:rFonts w:ascii="仿宋" w:eastAsia="仿宋" w:hAnsi="仿宋" w:hint="eastAsia"/>
          <w:sz w:val="32"/>
          <w:szCs w:val="32"/>
        </w:rPr>
        <w:t>人，这</w:t>
      </w:r>
      <w:r>
        <w:rPr>
          <w:rFonts w:ascii="仿宋" w:eastAsia="仿宋" w:hAnsi="仿宋" w:hint="eastAsia"/>
          <w:sz w:val="32"/>
          <w:szCs w:val="32"/>
        </w:rPr>
        <w:t>3558</w:t>
      </w:r>
      <w:r>
        <w:rPr>
          <w:rFonts w:ascii="仿宋" w:eastAsia="仿宋" w:hAnsi="仿宋" w:hint="eastAsia"/>
          <w:sz w:val="32"/>
          <w:szCs w:val="32"/>
        </w:rPr>
        <w:t>人中因涉毒被公安机关打击处理过的共</w:t>
      </w:r>
      <w:r>
        <w:rPr>
          <w:rFonts w:ascii="仿宋" w:eastAsia="仿宋" w:hAnsi="仿宋" w:hint="eastAsia"/>
          <w:sz w:val="32"/>
          <w:szCs w:val="32"/>
        </w:rPr>
        <w:t>420</w:t>
      </w:r>
      <w:r>
        <w:rPr>
          <w:rFonts w:ascii="仿宋" w:eastAsia="仿宋" w:hAnsi="仿宋" w:hint="eastAsia"/>
          <w:sz w:val="32"/>
          <w:szCs w:val="32"/>
        </w:rPr>
        <w:t>人，占比</w:t>
      </w:r>
      <w:r>
        <w:rPr>
          <w:rFonts w:ascii="仿宋" w:eastAsia="仿宋" w:hAnsi="仿宋" w:hint="eastAsia"/>
          <w:sz w:val="32"/>
          <w:szCs w:val="32"/>
        </w:rPr>
        <w:t>11.8%</w:t>
      </w:r>
      <w:r>
        <w:rPr>
          <w:rFonts w:ascii="仿宋" w:eastAsia="仿宋" w:hAnsi="仿宋" w:hint="eastAsia"/>
          <w:sz w:val="32"/>
          <w:szCs w:val="32"/>
        </w:rPr>
        <w:t>；</w:t>
      </w:r>
      <w:r>
        <w:rPr>
          <w:rFonts w:ascii="仿宋" w:eastAsia="仿宋" w:hAnsi="仿宋" w:hint="eastAsia"/>
          <w:sz w:val="32"/>
          <w:szCs w:val="32"/>
        </w:rPr>
        <w:t xml:space="preserve">   </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②</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名涉毒人员中的两名涉毒人员存为关系人的</w:t>
      </w:r>
      <w:r>
        <w:rPr>
          <w:rFonts w:ascii="仿宋" w:eastAsia="仿宋" w:hAnsi="仿宋" w:hint="eastAsia"/>
          <w:sz w:val="32"/>
          <w:szCs w:val="32"/>
        </w:rPr>
        <w:t>873</w:t>
      </w:r>
      <w:r>
        <w:rPr>
          <w:rFonts w:ascii="仿宋" w:eastAsia="仿宋" w:hAnsi="仿宋" w:hint="eastAsia"/>
          <w:sz w:val="32"/>
          <w:szCs w:val="32"/>
        </w:rPr>
        <w:t>人，这</w:t>
      </w:r>
      <w:r>
        <w:rPr>
          <w:rFonts w:ascii="仿宋" w:eastAsia="仿宋" w:hAnsi="仿宋" w:hint="eastAsia"/>
          <w:sz w:val="32"/>
          <w:szCs w:val="32"/>
        </w:rPr>
        <w:t>873</w:t>
      </w:r>
      <w:r>
        <w:rPr>
          <w:rFonts w:ascii="仿宋" w:eastAsia="仿宋" w:hAnsi="仿宋" w:hint="eastAsia"/>
          <w:sz w:val="32"/>
          <w:szCs w:val="32"/>
        </w:rPr>
        <w:t>人因涉毒被公安机关打击处理过的共</w:t>
      </w:r>
      <w:r>
        <w:rPr>
          <w:rFonts w:ascii="仿宋" w:eastAsia="仿宋" w:hAnsi="仿宋" w:hint="eastAsia"/>
          <w:sz w:val="32"/>
          <w:szCs w:val="32"/>
        </w:rPr>
        <w:t>145</w:t>
      </w:r>
      <w:r>
        <w:rPr>
          <w:rFonts w:ascii="仿宋" w:eastAsia="仿宋" w:hAnsi="仿宋" w:hint="eastAsia"/>
          <w:sz w:val="32"/>
          <w:szCs w:val="32"/>
        </w:rPr>
        <w:t>人，占比</w:t>
      </w:r>
      <w:r>
        <w:rPr>
          <w:rFonts w:ascii="仿宋" w:eastAsia="仿宋" w:hAnsi="仿宋" w:hint="eastAsia"/>
          <w:sz w:val="32"/>
          <w:szCs w:val="32"/>
        </w:rPr>
        <w:t>16.6%</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③</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名涉毒人员中的三名涉毒人员存为关系人的</w:t>
      </w:r>
      <w:r>
        <w:rPr>
          <w:rFonts w:ascii="仿宋" w:eastAsia="仿宋" w:hAnsi="仿宋" w:hint="eastAsia"/>
          <w:sz w:val="32"/>
          <w:szCs w:val="32"/>
        </w:rPr>
        <w:t>194</w:t>
      </w:r>
      <w:r>
        <w:rPr>
          <w:rFonts w:ascii="仿宋" w:eastAsia="仿宋" w:hAnsi="仿宋" w:hint="eastAsia"/>
          <w:sz w:val="32"/>
          <w:szCs w:val="32"/>
        </w:rPr>
        <w:t>人，这</w:t>
      </w:r>
      <w:r>
        <w:rPr>
          <w:rFonts w:ascii="仿宋" w:eastAsia="仿宋" w:hAnsi="仿宋" w:hint="eastAsia"/>
          <w:sz w:val="32"/>
          <w:szCs w:val="32"/>
        </w:rPr>
        <w:t>194</w:t>
      </w:r>
      <w:r>
        <w:rPr>
          <w:rFonts w:ascii="仿宋" w:eastAsia="仿宋" w:hAnsi="仿宋" w:hint="eastAsia"/>
          <w:sz w:val="32"/>
          <w:szCs w:val="32"/>
        </w:rPr>
        <w:t>人因涉毒被公安机关打击处理过的共</w:t>
      </w:r>
      <w:r>
        <w:rPr>
          <w:rFonts w:ascii="仿宋" w:eastAsia="仿宋" w:hAnsi="仿宋" w:hint="eastAsia"/>
          <w:sz w:val="32"/>
          <w:szCs w:val="32"/>
        </w:rPr>
        <w:t>49</w:t>
      </w:r>
      <w:r>
        <w:rPr>
          <w:rFonts w:ascii="仿宋" w:eastAsia="仿宋" w:hAnsi="仿宋" w:hint="eastAsia"/>
          <w:sz w:val="32"/>
          <w:szCs w:val="32"/>
        </w:rPr>
        <w:t>人，占比</w:t>
      </w:r>
      <w:r>
        <w:rPr>
          <w:rFonts w:ascii="仿宋" w:eastAsia="仿宋" w:hAnsi="仿宋" w:hint="eastAsia"/>
          <w:sz w:val="32"/>
          <w:szCs w:val="32"/>
        </w:rPr>
        <w:t>25.3%</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④</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名涉毒人员中的四名涉毒人员存为关系人的</w:t>
      </w:r>
      <w:r>
        <w:rPr>
          <w:rFonts w:ascii="仿宋" w:eastAsia="仿宋" w:hAnsi="仿宋" w:hint="eastAsia"/>
          <w:sz w:val="32"/>
          <w:szCs w:val="32"/>
        </w:rPr>
        <w:t>84</w:t>
      </w:r>
      <w:r>
        <w:rPr>
          <w:rFonts w:ascii="仿宋" w:eastAsia="仿宋" w:hAnsi="仿宋" w:hint="eastAsia"/>
          <w:sz w:val="32"/>
          <w:szCs w:val="32"/>
        </w:rPr>
        <w:lastRenderedPageBreak/>
        <w:t>人，这</w:t>
      </w:r>
      <w:r>
        <w:rPr>
          <w:rFonts w:ascii="仿宋" w:eastAsia="仿宋" w:hAnsi="仿宋" w:hint="eastAsia"/>
          <w:sz w:val="32"/>
          <w:szCs w:val="32"/>
        </w:rPr>
        <w:t>84</w:t>
      </w:r>
      <w:r>
        <w:rPr>
          <w:rFonts w:ascii="仿宋" w:eastAsia="仿宋" w:hAnsi="仿宋" w:hint="eastAsia"/>
          <w:sz w:val="32"/>
          <w:szCs w:val="32"/>
        </w:rPr>
        <w:t>人因涉毒被公安机关打击处理过的共</w:t>
      </w:r>
      <w:r>
        <w:rPr>
          <w:rFonts w:ascii="仿宋" w:eastAsia="仿宋" w:hAnsi="仿宋" w:hint="eastAsia"/>
          <w:sz w:val="32"/>
          <w:szCs w:val="32"/>
        </w:rPr>
        <w:t>45</w:t>
      </w:r>
      <w:r>
        <w:rPr>
          <w:rFonts w:ascii="仿宋" w:eastAsia="仿宋" w:hAnsi="仿宋" w:hint="eastAsia"/>
          <w:sz w:val="32"/>
          <w:szCs w:val="32"/>
        </w:rPr>
        <w:t>人，占比</w:t>
      </w:r>
      <w:r>
        <w:rPr>
          <w:rFonts w:ascii="仿宋" w:eastAsia="仿宋" w:hAnsi="仿宋" w:hint="eastAsia"/>
          <w:sz w:val="32"/>
          <w:szCs w:val="32"/>
        </w:rPr>
        <w:t>53.6%</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⑤</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名涉毒人员中的五名涉毒人员存为关系人的</w:t>
      </w:r>
      <w:r>
        <w:rPr>
          <w:rFonts w:ascii="仿宋" w:eastAsia="仿宋" w:hAnsi="仿宋" w:hint="eastAsia"/>
          <w:sz w:val="32"/>
          <w:szCs w:val="32"/>
        </w:rPr>
        <w:t>21</w:t>
      </w:r>
      <w:r>
        <w:rPr>
          <w:rFonts w:ascii="仿宋" w:eastAsia="仿宋" w:hAnsi="仿宋" w:hint="eastAsia"/>
          <w:sz w:val="32"/>
          <w:szCs w:val="32"/>
        </w:rPr>
        <w:t>人，其中</w:t>
      </w:r>
      <w:r>
        <w:rPr>
          <w:rFonts w:ascii="仿宋" w:eastAsia="仿宋" w:hAnsi="仿宋" w:hint="eastAsia"/>
          <w:sz w:val="32"/>
          <w:szCs w:val="32"/>
        </w:rPr>
        <w:t>3</w:t>
      </w:r>
      <w:r>
        <w:rPr>
          <w:rFonts w:ascii="仿宋" w:eastAsia="仿宋" w:hAnsi="仿宋" w:hint="eastAsia"/>
          <w:sz w:val="32"/>
          <w:szCs w:val="32"/>
        </w:rPr>
        <w:t>名警察，</w:t>
      </w:r>
      <w:r>
        <w:rPr>
          <w:rFonts w:ascii="仿宋" w:eastAsia="仿宋" w:hAnsi="仿宋" w:hint="eastAsia"/>
          <w:sz w:val="32"/>
          <w:szCs w:val="32"/>
        </w:rPr>
        <w:t>12</w:t>
      </w:r>
      <w:r>
        <w:rPr>
          <w:rFonts w:ascii="仿宋" w:eastAsia="仿宋" w:hAnsi="仿宋" w:hint="eastAsia"/>
          <w:sz w:val="32"/>
          <w:szCs w:val="32"/>
        </w:rPr>
        <w:t>人因涉毒曾被公安机关打击处理，其他</w:t>
      </w:r>
      <w:r>
        <w:rPr>
          <w:rFonts w:ascii="仿宋" w:eastAsia="仿宋" w:hAnsi="仿宋" w:hint="eastAsia"/>
          <w:sz w:val="32"/>
          <w:szCs w:val="32"/>
        </w:rPr>
        <w:t>6</w:t>
      </w:r>
      <w:r>
        <w:rPr>
          <w:rFonts w:ascii="仿宋" w:eastAsia="仿宋" w:hAnsi="仿宋" w:hint="eastAsia"/>
          <w:sz w:val="32"/>
          <w:szCs w:val="32"/>
        </w:rPr>
        <w:t>人有涉毒以外的其他违法犯罪记录。分析得出除警察外的</w:t>
      </w:r>
      <w:r>
        <w:rPr>
          <w:rFonts w:ascii="仿宋" w:eastAsia="仿宋" w:hAnsi="仿宋" w:hint="eastAsia"/>
          <w:sz w:val="32"/>
          <w:szCs w:val="32"/>
        </w:rPr>
        <w:t>18</w:t>
      </w:r>
      <w:r>
        <w:rPr>
          <w:rFonts w:ascii="仿宋" w:eastAsia="仿宋" w:hAnsi="仿宋" w:hint="eastAsia"/>
          <w:sz w:val="32"/>
          <w:szCs w:val="32"/>
        </w:rPr>
        <w:t>人，违法犯罪人员占比</w:t>
      </w:r>
      <w:r>
        <w:rPr>
          <w:rFonts w:ascii="仿宋" w:eastAsia="仿宋" w:hAnsi="仿宋" w:hint="eastAsia"/>
          <w:sz w:val="32"/>
          <w:szCs w:val="32"/>
        </w:rPr>
        <w:t>100%</w:t>
      </w:r>
      <w:r>
        <w:rPr>
          <w:rFonts w:ascii="仿宋" w:eastAsia="仿宋" w:hAnsi="仿宋" w:hint="eastAsia"/>
          <w:sz w:val="32"/>
          <w:szCs w:val="32"/>
        </w:rPr>
        <w:t>，涉毒人员占比</w:t>
      </w:r>
      <w:r>
        <w:rPr>
          <w:rFonts w:ascii="仿宋" w:eastAsia="仿宋" w:hAnsi="仿宋" w:hint="eastAsia"/>
          <w:sz w:val="32"/>
          <w:szCs w:val="32"/>
        </w:rPr>
        <w:t>66.7%</w:t>
      </w:r>
      <w:r>
        <w:rPr>
          <w:rFonts w:ascii="仿宋" w:eastAsia="仿宋" w:hAnsi="仿宋" w:hint="eastAsia"/>
          <w:sz w:val="32"/>
          <w:szCs w:val="32"/>
        </w:rPr>
        <w:t>；</w:t>
      </w:r>
    </w:p>
    <w:p w:rsidR="00845ECD" w:rsidRDefault="00E82E99">
      <w:pPr>
        <w:spacing w:line="560" w:lineRule="exact"/>
        <w:ind w:firstLineChars="200" w:firstLine="640"/>
        <w:rPr>
          <w:rFonts w:ascii="仿宋" w:eastAsia="仿宋" w:hAnsi="仿宋"/>
          <w:sz w:val="32"/>
          <w:szCs w:val="32"/>
        </w:rPr>
      </w:pPr>
      <w:r>
        <w:rPr>
          <w:rFonts w:ascii="宋体" w:hAnsi="宋体" w:cs="宋体" w:hint="eastAsia"/>
          <w:sz w:val="32"/>
          <w:szCs w:val="32"/>
        </w:rPr>
        <w:t>⑥</w:t>
      </w:r>
      <w:r>
        <w:rPr>
          <w:rFonts w:ascii="仿宋" w:eastAsia="仿宋" w:hAnsi="仿宋" w:hint="eastAsia"/>
          <w:sz w:val="32"/>
          <w:szCs w:val="32"/>
        </w:rPr>
        <w:t>被这</w:t>
      </w:r>
      <w:r>
        <w:rPr>
          <w:rFonts w:ascii="仿宋" w:eastAsia="仿宋" w:hAnsi="仿宋" w:hint="eastAsia"/>
          <w:sz w:val="32"/>
          <w:szCs w:val="32"/>
        </w:rPr>
        <w:t>211</w:t>
      </w:r>
      <w:r>
        <w:rPr>
          <w:rFonts w:ascii="仿宋" w:eastAsia="仿宋" w:hAnsi="仿宋" w:hint="eastAsia"/>
          <w:sz w:val="32"/>
          <w:szCs w:val="32"/>
        </w:rPr>
        <w:t>名涉毒人员中的六名涉毒人员存为关系人的</w:t>
      </w:r>
      <w:r>
        <w:rPr>
          <w:rFonts w:ascii="仿宋" w:eastAsia="仿宋" w:hAnsi="仿宋" w:hint="eastAsia"/>
          <w:sz w:val="32"/>
          <w:szCs w:val="32"/>
        </w:rPr>
        <w:t>5</w:t>
      </w:r>
      <w:r>
        <w:rPr>
          <w:rFonts w:ascii="仿宋" w:eastAsia="仿宋" w:hAnsi="仿宋" w:hint="eastAsia"/>
          <w:sz w:val="32"/>
          <w:szCs w:val="32"/>
        </w:rPr>
        <w:t>人，这</w:t>
      </w:r>
      <w:r>
        <w:rPr>
          <w:rFonts w:ascii="仿宋" w:eastAsia="仿宋" w:hAnsi="仿宋" w:hint="eastAsia"/>
          <w:sz w:val="32"/>
          <w:szCs w:val="32"/>
        </w:rPr>
        <w:t>5</w:t>
      </w:r>
      <w:r>
        <w:rPr>
          <w:rFonts w:ascii="仿宋" w:eastAsia="仿宋" w:hAnsi="仿宋" w:hint="eastAsia"/>
          <w:sz w:val="32"/>
          <w:szCs w:val="32"/>
        </w:rPr>
        <w:t>人均因涉毒被公安机关打击处理过，占比</w:t>
      </w:r>
      <w:r>
        <w:rPr>
          <w:rFonts w:ascii="仿宋" w:eastAsia="仿宋" w:hAnsi="仿宋" w:hint="eastAsia"/>
          <w:sz w:val="32"/>
          <w:szCs w:val="32"/>
        </w:rPr>
        <w:t>100%</w:t>
      </w:r>
      <w:r>
        <w:rPr>
          <w:rFonts w:ascii="仿宋" w:eastAsia="仿宋" w:hAnsi="仿宋" w:hint="eastAsia"/>
          <w:sz w:val="32"/>
          <w:szCs w:val="32"/>
        </w:rPr>
        <w:t>。</w:t>
      </w:r>
    </w:p>
    <w:p w:rsidR="00845ECD" w:rsidRDefault="00436AB6">
      <w:pPr>
        <w:spacing w:line="560" w:lineRule="exact"/>
        <w:ind w:firstLineChars="200" w:firstLine="640"/>
        <w:rPr>
          <w:rFonts w:ascii="仿宋" w:eastAsia="仿宋" w:hAnsi="仿宋"/>
          <w:sz w:val="32"/>
          <w:szCs w:val="32"/>
        </w:rPr>
      </w:pPr>
      <w:r>
        <w:rPr>
          <w:rFonts w:ascii="仿宋" w:eastAsia="仿宋" w:hAnsi="仿宋"/>
          <w:noProof/>
          <w:sz w:val="32"/>
          <w:szCs w:val="32"/>
        </w:rPr>
        <w:drawing>
          <wp:anchor distT="0" distB="0" distL="114300" distR="114300" simplePos="0" relativeHeight="251663360" behindDoc="0" locked="0" layoutInCell="1" allowOverlap="1">
            <wp:simplePos x="0" y="0"/>
            <wp:positionH relativeFrom="column">
              <wp:posOffset>-90170</wp:posOffset>
            </wp:positionH>
            <wp:positionV relativeFrom="paragraph">
              <wp:posOffset>248920</wp:posOffset>
            </wp:positionV>
            <wp:extent cx="5809615" cy="2298065"/>
            <wp:effectExtent l="3175" t="635" r="0" b="0"/>
            <wp:wrapTopAndBottom/>
            <wp:docPr id="10" name="对象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在测算中，我们仅是以比中显性涉毒人员为标准计算占比，而在实际情况中，必定有部分涉毒人员并未被公安机关查处过，所以在涉毒人员比中率中，我们所测算出的结果为最小值。</w:t>
      </w:r>
      <w:r w:rsidR="00E82E99">
        <w:rPr>
          <w:rFonts w:ascii="仿宋" w:eastAsia="仿宋" w:hAnsi="仿宋" w:hint="eastAsia"/>
          <w:sz w:val="32"/>
          <w:szCs w:val="32"/>
        </w:rPr>
        <w:t>以上数据不难看出，被越多涉毒人员存为手机联系人的，其涉毒的可能性越高，当被五个或者五个以上涉毒人员存为手机联系人的，</w:t>
      </w:r>
      <w:r w:rsidR="00E82E99">
        <w:rPr>
          <w:rFonts w:ascii="仿宋" w:eastAsia="仿宋" w:hAnsi="仿宋" w:hint="eastAsia"/>
          <w:sz w:val="32"/>
          <w:szCs w:val="32"/>
        </w:rPr>
        <w:t>在排除我们公安机关民警的情况下，基本可以判定其违法嫌疑属性。</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（二）标签应用</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lastRenderedPageBreak/>
        <w:t>仍以涉毒人员标签为例，前面构建的八项标签指标中</w:t>
      </w:r>
      <w:r>
        <w:rPr>
          <w:rFonts w:ascii="仿宋" w:eastAsia="仿宋" w:hAnsi="仿宋" w:hint="eastAsia"/>
          <w:sz w:val="32"/>
          <w:szCs w:val="32"/>
        </w:rPr>
        <w:t>，</w:t>
      </w:r>
      <w:r>
        <w:rPr>
          <w:rFonts w:ascii="仿宋" w:eastAsia="仿宋" w:hAnsi="仿宋" w:hint="eastAsia"/>
          <w:sz w:val="32"/>
          <w:szCs w:val="32"/>
        </w:rPr>
        <w:t>涉毒前科属性因比中率较高，可直接定为高风险涉毒人员，结合前科人员进出公寓门禁记录，适时上门核查是否有违法犯罪行为；年龄属性作为基础条件，故将其它五项特征作为标签指标，分类如下：</w:t>
      </w:r>
    </w:p>
    <w:tbl>
      <w:tblPr>
        <w:tblpPr w:leftFromText="180" w:rightFromText="180" w:vertAnchor="text" w:horzAnchor="page" w:tblpX="1830" w:tblpY="20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3577"/>
        <w:gridCol w:w="3577"/>
      </w:tblGrid>
      <w:tr w:rsidR="00845ECD">
        <w:tc>
          <w:tcPr>
            <w:tcW w:w="1368"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代码</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标签指标</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指标参数</w:t>
            </w:r>
          </w:p>
        </w:tc>
      </w:tr>
      <w:tr w:rsidR="00845ECD">
        <w:tc>
          <w:tcPr>
            <w:tcW w:w="1368"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被多名显性涉毒人员存为手机联系人</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被</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名显性涉毒人员存为手机联系人</w:t>
            </w:r>
          </w:p>
        </w:tc>
      </w:tr>
      <w:tr w:rsidR="00845ECD">
        <w:tc>
          <w:tcPr>
            <w:tcW w:w="1368" w:type="dxa"/>
            <w:vAlign w:val="center"/>
          </w:tcPr>
          <w:p w:rsidR="00845ECD" w:rsidRDefault="00E82E99">
            <w:pPr>
              <w:ind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B</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是否正常</w:t>
            </w:r>
            <w:r>
              <w:rPr>
                <w:rFonts w:ascii="仿宋_GB2312" w:eastAsia="仿宋_GB2312" w:hAnsi="仿宋_GB2312" w:cs="仿宋_GB2312" w:hint="eastAsia"/>
                <w:sz w:val="32"/>
                <w:szCs w:val="32"/>
              </w:rPr>
              <w:t>缴纳社保</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未正常缴纳</w:t>
            </w:r>
          </w:p>
        </w:tc>
      </w:tr>
      <w:tr w:rsidR="00845ECD">
        <w:tc>
          <w:tcPr>
            <w:tcW w:w="1368"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C</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网吧下线时间</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时</w:t>
            </w:r>
          </w:p>
        </w:tc>
      </w:tr>
      <w:tr w:rsidR="00845ECD">
        <w:tc>
          <w:tcPr>
            <w:tcW w:w="1368"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D</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入住旅馆时间</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时—次日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时</w:t>
            </w:r>
          </w:p>
        </w:tc>
      </w:tr>
      <w:tr w:rsidR="00845ECD">
        <w:tc>
          <w:tcPr>
            <w:tcW w:w="1368"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E</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是否涉警人员</w:t>
            </w:r>
          </w:p>
        </w:tc>
        <w:tc>
          <w:tcPr>
            <w:tcW w:w="3577"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是</w:t>
            </w:r>
          </w:p>
        </w:tc>
      </w:tr>
    </w:tbl>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为提高公安工作效率，最大程度地避</w:t>
      </w:r>
      <w:r>
        <w:rPr>
          <w:rFonts w:ascii="仿宋" w:eastAsia="仿宋" w:hAnsi="仿宋" w:hint="eastAsia"/>
          <w:sz w:val="32"/>
          <w:szCs w:val="32"/>
        </w:rPr>
        <w:t>免警力浪费，我们依据蛛网抽取的</w:t>
      </w:r>
      <w:r>
        <w:rPr>
          <w:rFonts w:ascii="仿宋" w:eastAsia="仿宋" w:hAnsi="仿宋" w:hint="eastAsia"/>
          <w:sz w:val="32"/>
          <w:szCs w:val="32"/>
        </w:rPr>
        <w:t>211</w:t>
      </w:r>
      <w:r>
        <w:rPr>
          <w:rFonts w:ascii="仿宋" w:eastAsia="仿宋" w:hAnsi="仿宋" w:hint="eastAsia"/>
          <w:sz w:val="32"/>
          <w:szCs w:val="32"/>
        </w:rPr>
        <w:t>名涉毒人员通讯录，将其中被三个涉毒人员存为手机联系人的</w:t>
      </w:r>
      <w:r>
        <w:rPr>
          <w:rFonts w:ascii="仿宋" w:eastAsia="仿宋" w:hAnsi="仿宋" w:hint="eastAsia"/>
          <w:sz w:val="32"/>
          <w:szCs w:val="32"/>
        </w:rPr>
        <w:t>194</w:t>
      </w:r>
      <w:r>
        <w:rPr>
          <w:rFonts w:ascii="仿宋" w:eastAsia="仿宋" w:hAnsi="仿宋" w:hint="eastAsia"/>
          <w:sz w:val="32"/>
          <w:szCs w:val="32"/>
        </w:rPr>
        <w:t>人设为样本</w:t>
      </w:r>
      <w:r>
        <w:rPr>
          <w:rFonts w:ascii="仿宋" w:eastAsia="仿宋" w:hAnsi="仿宋" w:hint="eastAsia"/>
          <w:sz w:val="32"/>
          <w:szCs w:val="32"/>
        </w:rPr>
        <w:t>A</w:t>
      </w:r>
      <w:r>
        <w:rPr>
          <w:rFonts w:ascii="仿宋" w:eastAsia="仿宋" w:hAnsi="仿宋" w:hint="eastAsia"/>
          <w:sz w:val="32"/>
          <w:szCs w:val="32"/>
        </w:rPr>
        <w:t>，其比中的显</w:t>
      </w:r>
      <w:r>
        <w:rPr>
          <w:rFonts w:ascii="仿宋" w:eastAsia="仿宋" w:hAnsi="仿宋" w:hint="eastAsia"/>
          <w:sz w:val="32"/>
          <w:szCs w:val="32"/>
        </w:rPr>
        <w:t>性涉毒人员共</w:t>
      </w:r>
      <w:r>
        <w:rPr>
          <w:rFonts w:ascii="仿宋" w:eastAsia="仿宋" w:hAnsi="仿宋" w:hint="eastAsia"/>
          <w:sz w:val="32"/>
          <w:szCs w:val="32"/>
        </w:rPr>
        <w:t>49</w:t>
      </w:r>
      <w:r>
        <w:rPr>
          <w:rFonts w:ascii="仿宋" w:eastAsia="仿宋" w:hAnsi="仿宋" w:hint="eastAsia"/>
          <w:sz w:val="32"/>
          <w:szCs w:val="32"/>
        </w:rPr>
        <w:t>人，比中涉毒人员机率至少</w:t>
      </w:r>
      <w:r>
        <w:rPr>
          <w:rFonts w:ascii="仿宋" w:eastAsia="仿宋" w:hAnsi="仿宋" w:hint="eastAsia"/>
          <w:sz w:val="32"/>
          <w:szCs w:val="32"/>
        </w:rPr>
        <w:t>25.3%</w:t>
      </w:r>
      <w:r>
        <w:rPr>
          <w:rFonts w:ascii="仿宋" w:eastAsia="仿宋" w:hAnsi="仿宋" w:hint="eastAsia"/>
          <w:sz w:val="32"/>
          <w:szCs w:val="32"/>
        </w:rPr>
        <w:t>。用其他指标与样本</w:t>
      </w:r>
      <w:r>
        <w:rPr>
          <w:rFonts w:ascii="仿宋" w:eastAsia="仿宋" w:hAnsi="仿宋" w:hint="eastAsia"/>
          <w:sz w:val="32"/>
          <w:szCs w:val="32"/>
        </w:rPr>
        <w:t>A</w:t>
      </w:r>
      <w:r>
        <w:rPr>
          <w:rFonts w:ascii="仿宋" w:eastAsia="仿宋" w:hAnsi="仿宋" w:hint="eastAsia"/>
          <w:sz w:val="32"/>
          <w:szCs w:val="32"/>
        </w:rPr>
        <w:t>进行排列组合后，验证出比中显性涉毒人员机率的浮动情况如下：</w:t>
      </w:r>
    </w:p>
    <w:tbl>
      <w:tblPr>
        <w:tblpPr w:leftFromText="180" w:rightFromText="180" w:vertAnchor="text" w:horzAnchor="page" w:tblpX="1785" w:tblpY="236"/>
        <w:tblOverlap w:val="neve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835"/>
        <w:gridCol w:w="1800"/>
        <w:gridCol w:w="2850"/>
      </w:tblGrid>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组合方式</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比中显性涉毒比例</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组合方式</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比中显性涉毒比例</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样本</w:t>
            </w:r>
            <w:r>
              <w:rPr>
                <w:rFonts w:ascii="仿宋_GB2312" w:eastAsia="仿宋_GB2312" w:hAnsi="仿宋_GB2312" w:cs="仿宋_GB2312" w:hint="eastAsia"/>
                <w:sz w:val="32"/>
                <w:szCs w:val="32"/>
              </w:rPr>
              <w:t>A</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25.3%</w:t>
            </w:r>
          </w:p>
        </w:tc>
        <w:tc>
          <w:tcPr>
            <w:tcW w:w="1800" w:type="dxa"/>
            <w:vAlign w:val="center"/>
          </w:tcPr>
          <w:p w:rsidR="00845ECD" w:rsidRDefault="00E82E9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16% </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27.9%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17%</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27.3%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16.3%</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27.1%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29.8%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10%</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29%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16.2%</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26.8% </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r>
              <w:rPr>
                <w:rFonts w:ascii="仿宋_GB2312" w:eastAsia="仿宋_GB2312" w:hAnsi="仿宋_GB2312" w:cs="仿宋_GB2312" w:hint="eastAsia"/>
                <w:sz w:val="32"/>
                <w:szCs w:val="32"/>
              </w:rPr>
              <w:t>↓</w:t>
            </w:r>
          </w:p>
        </w:tc>
      </w:tr>
      <w:tr w:rsidR="00845ECD">
        <w:tc>
          <w:tcPr>
            <w:tcW w:w="158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35"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28.5%</w:t>
            </w:r>
            <w:r>
              <w:rPr>
                <w:rFonts w:ascii="仿宋_GB2312" w:eastAsia="仿宋_GB2312" w:hAnsi="仿宋_GB2312" w:cs="仿宋_GB2312" w:hint="eastAsia"/>
                <w:color w:val="FF0000"/>
                <w:sz w:val="32"/>
                <w:szCs w:val="32"/>
              </w:rPr>
              <w:t>↑</w:t>
            </w:r>
          </w:p>
        </w:tc>
        <w:tc>
          <w:tcPr>
            <w:tcW w:w="180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B</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C</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D</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E</w:t>
            </w:r>
          </w:p>
        </w:tc>
        <w:tc>
          <w:tcPr>
            <w:tcW w:w="2850" w:type="dxa"/>
            <w:vAlign w:val="center"/>
          </w:tcPr>
          <w:p w:rsidR="00845ECD" w:rsidRDefault="00E82E99">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15.7%</w:t>
            </w:r>
            <w:r>
              <w:rPr>
                <w:rFonts w:ascii="仿宋_GB2312" w:eastAsia="仿宋_GB2312" w:hAnsi="仿宋_GB2312" w:cs="仿宋_GB2312" w:hint="eastAsia"/>
                <w:sz w:val="32"/>
                <w:szCs w:val="32"/>
              </w:rPr>
              <w:t>↓</w:t>
            </w:r>
          </w:p>
        </w:tc>
      </w:tr>
    </w:tbl>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组合验证结果显示：</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、组合指标的种类个数不能作为比中的依据，并非符合越多的指标种类比中机率越高；</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、活动轨迹维度方面的指标要分开组合。（比如网吧下网时间和入住旅馆时间两个指标要分开使用，因上述两个行为同时发生的可能性很小，比中机率会明显下降）</w:t>
      </w:r>
    </w:p>
    <w:p w:rsidR="00845ECD" w:rsidRDefault="00E82E99">
      <w:pPr>
        <w:spacing w:line="560" w:lineRule="exact"/>
        <w:rPr>
          <w:rFonts w:ascii="仿宋" w:eastAsia="仿宋" w:hAnsi="仿宋"/>
          <w:sz w:val="32"/>
          <w:szCs w:val="32"/>
        </w:rPr>
      </w:pPr>
      <w:r>
        <w:rPr>
          <w:rFonts w:ascii="仿宋" w:eastAsia="仿宋" w:hAnsi="仿宋" w:hint="eastAsia"/>
          <w:sz w:val="32"/>
          <w:szCs w:val="32"/>
        </w:rPr>
        <w:t xml:space="preserve">    3</w:t>
      </w:r>
      <w:r>
        <w:rPr>
          <w:rFonts w:ascii="仿宋" w:eastAsia="仿宋" w:hAnsi="仿宋" w:hint="eastAsia"/>
          <w:sz w:val="32"/>
          <w:szCs w:val="32"/>
        </w:rPr>
        <w:t>、以涉毒为例：使用</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B</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D</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E</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B</w:t>
      </w:r>
      <w:r>
        <w:rPr>
          <w:rFonts w:ascii="仿宋_GB2312" w:eastAsia="仿宋_GB2312" w:hAnsi="仿宋_GB2312" w:cs="仿宋_GB2312" w:hint="eastAsia"/>
          <w:sz w:val="32"/>
          <w:szCs w:val="32"/>
        </w:rPr>
        <w:t>+</w:t>
      </w:r>
      <w:r>
        <w:rPr>
          <w:rFonts w:ascii="仿宋" w:eastAsia="仿宋" w:hAnsi="仿宋" w:hint="eastAsia"/>
          <w:sz w:val="32"/>
          <w:szCs w:val="32"/>
        </w:rPr>
        <w:t>D</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B</w:t>
      </w:r>
      <w:r>
        <w:rPr>
          <w:rFonts w:ascii="仿宋_GB2312" w:eastAsia="仿宋_GB2312" w:hAnsi="仿宋_GB2312" w:cs="仿宋_GB2312" w:hint="eastAsia"/>
          <w:sz w:val="32"/>
          <w:szCs w:val="32"/>
        </w:rPr>
        <w:t>+</w:t>
      </w:r>
      <w:r>
        <w:rPr>
          <w:rFonts w:ascii="仿宋" w:eastAsia="仿宋" w:hAnsi="仿宋" w:hint="eastAsia"/>
          <w:sz w:val="32"/>
          <w:szCs w:val="32"/>
        </w:rPr>
        <w:t>E</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D</w:t>
      </w:r>
      <w:r>
        <w:rPr>
          <w:rFonts w:ascii="仿宋_GB2312" w:eastAsia="仿宋_GB2312" w:hAnsi="仿宋_GB2312" w:cs="仿宋_GB2312" w:hint="eastAsia"/>
          <w:sz w:val="32"/>
          <w:szCs w:val="32"/>
        </w:rPr>
        <w:t>+</w:t>
      </w:r>
      <w:r>
        <w:rPr>
          <w:rFonts w:ascii="仿宋" w:eastAsia="仿宋" w:hAnsi="仿宋" w:hint="eastAsia"/>
          <w:sz w:val="32"/>
          <w:szCs w:val="32"/>
        </w:rPr>
        <w:t>E</w:t>
      </w:r>
      <w:r>
        <w:rPr>
          <w:rFonts w:ascii="仿宋" w:eastAsia="仿宋" w:hAnsi="仿宋" w:hint="eastAsia"/>
          <w:sz w:val="32"/>
          <w:szCs w:val="32"/>
        </w:rPr>
        <w:t>、</w:t>
      </w:r>
      <w:r>
        <w:rPr>
          <w:rFonts w:ascii="仿宋" w:eastAsia="仿宋" w:hAnsi="仿宋" w:hint="eastAsia"/>
          <w:sz w:val="32"/>
          <w:szCs w:val="32"/>
        </w:rPr>
        <w:t>A</w:t>
      </w:r>
      <w:r>
        <w:rPr>
          <w:rFonts w:ascii="仿宋_GB2312" w:eastAsia="仿宋_GB2312" w:hAnsi="仿宋_GB2312" w:cs="仿宋_GB2312" w:hint="eastAsia"/>
          <w:sz w:val="32"/>
          <w:szCs w:val="32"/>
        </w:rPr>
        <w:t>+</w:t>
      </w:r>
      <w:r>
        <w:rPr>
          <w:rFonts w:ascii="仿宋" w:eastAsia="仿宋" w:hAnsi="仿宋" w:hint="eastAsia"/>
          <w:sz w:val="32"/>
          <w:szCs w:val="32"/>
        </w:rPr>
        <w:t>B</w:t>
      </w:r>
      <w:r>
        <w:rPr>
          <w:rFonts w:ascii="仿宋_GB2312" w:eastAsia="仿宋_GB2312" w:hAnsi="仿宋_GB2312" w:cs="仿宋_GB2312" w:hint="eastAsia"/>
          <w:sz w:val="32"/>
          <w:szCs w:val="32"/>
        </w:rPr>
        <w:t>+</w:t>
      </w:r>
      <w:r>
        <w:rPr>
          <w:rFonts w:ascii="仿宋" w:eastAsia="仿宋" w:hAnsi="仿宋" w:hint="eastAsia"/>
          <w:sz w:val="32"/>
          <w:szCs w:val="32"/>
        </w:rPr>
        <w:t>D</w:t>
      </w:r>
      <w:r>
        <w:rPr>
          <w:rFonts w:ascii="仿宋_GB2312" w:eastAsia="仿宋_GB2312" w:hAnsi="仿宋_GB2312" w:cs="仿宋_GB2312" w:hint="eastAsia"/>
          <w:sz w:val="32"/>
          <w:szCs w:val="32"/>
        </w:rPr>
        <w:t>+</w:t>
      </w:r>
      <w:r>
        <w:rPr>
          <w:rFonts w:ascii="仿宋" w:eastAsia="仿宋" w:hAnsi="仿宋" w:hint="eastAsia"/>
          <w:sz w:val="32"/>
          <w:szCs w:val="32"/>
        </w:rPr>
        <w:t>E</w:t>
      </w:r>
      <w:r>
        <w:rPr>
          <w:rFonts w:ascii="仿宋" w:eastAsia="仿宋" w:hAnsi="仿宋" w:hint="eastAsia"/>
          <w:sz w:val="32"/>
          <w:szCs w:val="32"/>
        </w:rPr>
        <w:t>作为组合后比中率上升，可以将符合上述组合的住户判定为具备高危涉毒风险人员（其他组合类型在测算中比中率下降，说明组合欠缺科学性）。一旦判定为具备高危涉毒风险人员，我们可将公寓楼进出记录作为公安机关上门核查的时间依据，提高查处工作的针对性和有效性。</w:t>
      </w:r>
    </w:p>
    <w:p w:rsidR="00845ECD" w:rsidRDefault="00436AB6">
      <w:pPr>
        <w:spacing w:line="560" w:lineRule="exact"/>
        <w:ind w:firstLineChars="200" w:firstLine="420"/>
        <w:rPr>
          <w:rFonts w:ascii="仿宋" w:eastAsia="仿宋" w:hAnsi="仿宋"/>
          <w:sz w:val="32"/>
          <w:szCs w:val="32"/>
        </w:rPr>
      </w:pPr>
      <w:r>
        <w:rPr>
          <w:noProof/>
        </w:rPr>
        <w:lastRenderedPageBreak/>
        <w:drawing>
          <wp:anchor distT="0" distB="0" distL="114300" distR="114300" simplePos="0" relativeHeight="251667456" behindDoc="0" locked="0" layoutInCell="1" allowOverlap="1">
            <wp:simplePos x="0" y="0"/>
            <wp:positionH relativeFrom="column">
              <wp:posOffset>95250</wp:posOffset>
            </wp:positionH>
            <wp:positionV relativeFrom="paragraph">
              <wp:posOffset>977265</wp:posOffset>
            </wp:positionV>
            <wp:extent cx="5607685" cy="3154045"/>
            <wp:effectExtent l="0" t="0" r="0" b="0"/>
            <wp:wrapTopAndBottom/>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7685"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99">
        <w:rPr>
          <w:rFonts w:ascii="仿宋" w:eastAsia="仿宋" w:hAnsi="仿宋" w:hint="eastAsia"/>
          <w:sz w:val="32"/>
          <w:szCs w:val="32"/>
        </w:rPr>
        <w:t>基于上述</w:t>
      </w:r>
      <w:r w:rsidR="00E82E99">
        <w:rPr>
          <w:rFonts w:ascii="仿宋" w:eastAsia="仿宋" w:hAnsi="仿宋" w:hint="eastAsia"/>
          <w:sz w:val="32"/>
          <w:szCs w:val="32"/>
        </w:rPr>
        <w:t>标签体</w:t>
      </w:r>
      <w:r w:rsidR="00E82E99">
        <w:rPr>
          <w:rFonts w:ascii="仿宋" w:eastAsia="仿宋" w:hAnsi="仿宋" w:hint="eastAsia"/>
          <w:sz w:val="32"/>
          <w:szCs w:val="32"/>
        </w:rPr>
        <w:t>系，我们于今年</w:t>
      </w:r>
      <w:r w:rsidR="00E82E99">
        <w:rPr>
          <w:rFonts w:ascii="仿宋" w:eastAsia="仿宋" w:hAnsi="仿宋" w:hint="eastAsia"/>
          <w:sz w:val="32"/>
          <w:szCs w:val="32"/>
        </w:rPr>
        <w:t>11</w:t>
      </w:r>
      <w:r w:rsidR="00E82E99">
        <w:rPr>
          <w:rFonts w:ascii="仿宋" w:eastAsia="仿宋" w:hAnsi="仿宋" w:hint="eastAsia"/>
          <w:sz w:val="32"/>
          <w:szCs w:val="32"/>
        </w:rPr>
        <w:t>月在汇金广场成功抓获三名涉毒人员。</w:t>
      </w:r>
    </w:p>
    <w:p w:rsidR="00845ECD" w:rsidRDefault="00E82E99">
      <w:pPr>
        <w:spacing w:line="560" w:lineRule="exact"/>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rPr>
        <w:t>由此，我们可以总结出其他类型犯罪人员均可按照上述模式，先行分析特征规律，设定各指标参数，通过指标间的组合验证得出高危风险人员，构建相应的住户标签及相关指标、参数。通过</w:t>
      </w:r>
      <w:r>
        <w:rPr>
          <w:rFonts w:ascii="仿宋" w:eastAsia="仿宋" w:hAnsi="仿宋" w:hint="eastAsia"/>
          <w:sz w:val="32"/>
          <w:szCs w:val="32"/>
        </w:rPr>
        <w:t>案例</w:t>
      </w:r>
      <w:r>
        <w:rPr>
          <w:rFonts w:ascii="仿宋" w:eastAsia="仿宋" w:hAnsi="仿宋" w:hint="eastAsia"/>
          <w:sz w:val="32"/>
          <w:szCs w:val="32"/>
        </w:rPr>
        <w:t>可以看出，通过住户标签</w:t>
      </w:r>
      <w:r>
        <w:rPr>
          <w:rFonts w:ascii="仿宋" w:eastAsia="仿宋" w:hAnsi="仿宋" w:hint="eastAsia"/>
          <w:sz w:val="32"/>
          <w:szCs w:val="32"/>
        </w:rPr>
        <w:t>应用</w:t>
      </w:r>
      <w:r>
        <w:rPr>
          <w:rFonts w:ascii="仿宋" w:eastAsia="仿宋" w:hAnsi="仿宋" w:hint="eastAsia"/>
          <w:sz w:val="32"/>
          <w:szCs w:val="32"/>
        </w:rPr>
        <w:t>，</w:t>
      </w:r>
      <w:r>
        <w:rPr>
          <w:rFonts w:ascii="仿宋" w:eastAsia="仿宋" w:hAnsi="仿宋" w:hint="eastAsia"/>
          <w:sz w:val="32"/>
          <w:szCs w:val="32"/>
        </w:rPr>
        <w:t>可以有</w:t>
      </w:r>
      <w:r>
        <w:rPr>
          <w:rFonts w:ascii="仿宋" w:eastAsia="仿宋" w:hAnsi="仿宋" w:hint="eastAsia"/>
          <w:sz w:val="32"/>
          <w:szCs w:val="32"/>
        </w:rPr>
        <w:t>效实现预判嫌疑人与打击犯罪的目标，便于公安机关采取准确有效的打击、管理措施，提升公安工作的洞察能力。</w:t>
      </w:r>
    </w:p>
    <w:p w:rsidR="00845ECD" w:rsidRDefault="00E82E99">
      <w:pPr>
        <w:spacing w:line="560" w:lineRule="exact"/>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rPr>
        <w:t>同时，在服务民生方面，标签构建及应用也可发挥显著作用。</w:t>
      </w:r>
      <w:r>
        <w:rPr>
          <w:rFonts w:ascii="仿宋" w:eastAsia="仿宋" w:hAnsi="仿宋" w:hint="eastAsia"/>
          <w:sz w:val="32"/>
          <w:szCs w:val="32"/>
        </w:rPr>
        <w:t>以构建</w:t>
      </w:r>
      <w:r>
        <w:rPr>
          <w:rFonts w:ascii="仿宋" w:eastAsia="仿宋" w:hAnsi="仿宋" w:hint="eastAsia"/>
          <w:sz w:val="32"/>
          <w:szCs w:val="32"/>
        </w:rPr>
        <w:t>独居老人</w:t>
      </w:r>
      <w:r>
        <w:rPr>
          <w:rFonts w:ascii="仿宋" w:eastAsia="仿宋" w:hAnsi="仿宋" w:hint="eastAsia"/>
          <w:sz w:val="32"/>
          <w:szCs w:val="32"/>
        </w:rPr>
        <w:t>标签为例</w:t>
      </w:r>
      <w:r>
        <w:rPr>
          <w:rFonts w:ascii="仿宋" w:eastAsia="仿宋" w:hAnsi="仿宋" w:hint="eastAsia"/>
          <w:sz w:val="32"/>
          <w:szCs w:val="32"/>
        </w:rPr>
        <w:t>，标签维度在人员属性上需满足</w:t>
      </w:r>
      <w:r>
        <w:rPr>
          <w:rFonts w:ascii="仿宋" w:eastAsia="仿宋" w:hAnsi="仿宋" w:hint="eastAsia"/>
          <w:sz w:val="32"/>
          <w:szCs w:val="32"/>
        </w:rPr>
        <w:t>70</w:t>
      </w:r>
      <w:r>
        <w:rPr>
          <w:rFonts w:ascii="仿宋" w:eastAsia="仿宋" w:hAnsi="仿宋" w:hint="eastAsia"/>
          <w:sz w:val="32"/>
          <w:szCs w:val="32"/>
        </w:rPr>
        <w:t>周岁以上且独居，行为轨迹上需满足两天及以上无进出门禁记录、无铁路民航旅客记录、无宾馆入住记录。我们对分析得出的上述</w:t>
      </w:r>
      <w:r>
        <w:rPr>
          <w:rFonts w:ascii="仿宋" w:eastAsia="仿宋" w:hAnsi="仿宋" w:hint="eastAsia"/>
          <w:sz w:val="32"/>
          <w:szCs w:val="32"/>
        </w:rPr>
        <w:lastRenderedPageBreak/>
        <w:t>标签用户，会同社区、物业及时与老人的子女联系或上门核查老人的具体情况，防止意外事件的发生。</w:t>
      </w:r>
    </w:p>
    <w:tbl>
      <w:tblPr>
        <w:tblpPr w:leftFromText="180" w:rightFromText="180" w:vertAnchor="text" w:horzAnchor="page" w:tblpX="2040" w:tblpY="259"/>
        <w:tblOverlap w:val="neve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3645"/>
        <w:gridCol w:w="3585"/>
      </w:tblGrid>
      <w:tr w:rsidR="00845ECD">
        <w:tblPrEx>
          <w:tblCellMar>
            <w:top w:w="0" w:type="dxa"/>
            <w:bottom w:w="0" w:type="dxa"/>
          </w:tblCellMar>
        </w:tblPrEx>
        <w:tc>
          <w:tcPr>
            <w:tcW w:w="1210"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序号</w:t>
            </w:r>
          </w:p>
        </w:tc>
        <w:tc>
          <w:tcPr>
            <w:tcW w:w="364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标签指标</w:t>
            </w:r>
          </w:p>
        </w:tc>
        <w:tc>
          <w:tcPr>
            <w:tcW w:w="358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指标参数</w:t>
            </w:r>
          </w:p>
        </w:tc>
      </w:tr>
      <w:tr w:rsidR="00845ECD">
        <w:tblPrEx>
          <w:tblCellMar>
            <w:top w:w="0" w:type="dxa"/>
            <w:bottom w:w="0" w:type="dxa"/>
          </w:tblCellMar>
        </w:tblPrEx>
        <w:tc>
          <w:tcPr>
            <w:tcW w:w="1210"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p>
        </w:tc>
        <w:tc>
          <w:tcPr>
            <w:tcW w:w="364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公寓登记入住人员情况</w:t>
            </w:r>
          </w:p>
        </w:tc>
        <w:tc>
          <w:tcPr>
            <w:tcW w:w="358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岁以上，独居</w:t>
            </w:r>
          </w:p>
        </w:tc>
      </w:tr>
      <w:tr w:rsidR="00845ECD">
        <w:tblPrEx>
          <w:tblCellMar>
            <w:top w:w="0" w:type="dxa"/>
            <w:bottom w:w="0" w:type="dxa"/>
          </w:tblCellMar>
        </w:tblPrEx>
        <w:tc>
          <w:tcPr>
            <w:tcW w:w="1210"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B</w:t>
            </w:r>
          </w:p>
        </w:tc>
        <w:tc>
          <w:tcPr>
            <w:tcW w:w="364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门禁记录</w:t>
            </w:r>
          </w:p>
        </w:tc>
        <w:tc>
          <w:tcPr>
            <w:tcW w:w="358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48</w:t>
            </w:r>
            <w:r>
              <w:rPr>
                <w:rFonts w:ascii="仿宋_GB2312" w:eastAsia="仿宋_GB2312" w:hAnsi="仿宋_GB2312" w:cs="仿宋_GB2312" w:hint="eastAsia"/>
                <w:sz w:val="32"/>
                <w:szCs w:val="32"/>
              </w:rPr>
              <w:t>小时未进出</w:t>
            </w:r>
          </w:p>
        </w:tc>
      </w:tr>
      <w:tr w:rsidR="00845ECD">
        <w:tblPrEx>
          <w:tblCellMar>
            <w:top w:w="0" w:type="dxa"/>
            <w:bottom w:w="0" w:type="dxa"/>
          </w:tblCellMar>
        </w:tblPrEx>
        <w:tc>
          <w:tcPr>
            <w:tcW w:w="1210"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C</w:t>
            </w:r>
          </w:p>
        </w:tc>
        <w:tc>
          <w:tcPr>
            <w:tcW w:w="364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民航、铁路记录</w:t>
            </w:r>
          </w:p>
        </w:tc>
        <w:tc>
          <w:tcPr>
            <w:tcW w:w="358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未发现民航、铁路记录</w:t>
            </w:r>
          </w:p>
        </w:tc>
      </w:tr>
      <w:tr w:rsidR="00845ECD">
        <w:tblPrEx>
          <w:tblCellMar>
            <w:top w:w="0" w:type="dxa"/>
            <w:bottom w:w="0" w:type="dxa"/>
          </w:tblCellMar>
        </w:tblPrEx>
        <w:tc>
          <w:tcPr>
            <w:tcW w:w="1210"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D</w:t>
            </w:r>
          </w:p>
        </w:tc>
        <w:tc>
          <w:tcPr>
            <w:tcW w:w="364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宾馆入住记录</w:t>
            </w:r>
          </w:p>
        </w:tc>
        <w:tc>
          <w:tcPr>
            <w:tcW w:w="3585" w:type="dxa"/>
            <w:vAlign w:val="center"/>
          </w:tcPr>
          <w:p w:rsidR="00845ECD" w:rsidRDefault="00E82E99">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未发现宾馆入住记录</w:t>
            </w:r>
          </w:p>
        </w:tc>
      </w:tr>
    </w:tbl>
    <w:p w:rsidR="00845ECD" w:rsidRDefault="00845ECD">
      <w:pPr>
        <w:spacing w:line="560" w:lineRule="exact"/>
        <w:rPr>
          <w:rFonts w:ascii="仿宋" w:eastAsia="仿宋" w:hAnsi="仿宋"/>
          <w:sz w:val="32"/>
          <w:szCs w:val="32"/>
        </w:rPr>
      </w:pPr>
    </w:p>
    <w:p w:rsidR="00845ECD" w:rsidRDefault="00E82E99">
      <w:pPr>
        <w:spacing w:line="560" w:lineRule="exact"/>
        <w:ind w:leftChars="200" w:left="420"/>
        <w:rPr>
          <w:rFonts w:ascii="黑体" w:eastAsia="黑体" w:hAnsi="黑体" w:cs="黑体"/>
          <w:sz w:val="32"/>
          <w:szCs w:val="32"/>
        </w:rPr>
      </w:pPr>
      <w:r>
        <w:rPr>
          <w:rFonts w:ascii="黑体" w:eastAsia="黑体" w:hAnsi="黑体" w:cs="黑体" w:hint="eastAsia"/>
          <w:sz w:val="32"/>
          <w:szCs w:val="32"/>
        </w:rPr>
        <w:t>三、</w:t>
      </w:r>
      <w:r>
        <w:rPr>
          <w:rFonts w:ascii="黑体" w:eastAsia="黑体" w:hAnsi="黑体" w:cs="黑体" w:hint="eastAsia"/>
          <w:sz w:val="32"/>
          <w:szCs w:val="32"/>
        </w:rPr>
        <w:t>住户标签</w:t>
      </w:r>
      <w:r>
        <w:rPr>
          <w:rFonts w:ascii="黑体" w:eastAsia="黑体" w:hAnsi="黑体" w:cs="黑体" w:hint="eastAsia"/>
          <w:sz w:val="32"/>
          <w:szCs w:val="32"/>
        </w:rPr>
        <w:t>生命周期</w:t>
      </w:r>
      <w:r>
        <w:rPr>
          <w:rFonts w:ascii="黑体" w:eastAsia="黑体" w:hAnsi="黑体" w:cs="黑体" w:hint="eastAsia"/>
          <w:sz w:val="32"/>
          <w:szCs w:val="32"/>
        </w:rPr>
        <w:t>管理</w:t>
      </w:r>
    </w:p>
    <w:p w:rsidR="00845ECD" w:rsidRDefault="00E82E99">
      <w:pPr>
        <w:spacing w:line="560" w:lineRule="exact"/>
        <w:ind w:firstLineChars="200" w:firstLine="640"/>
        <w:rPr>
          <w:rFonts w:ascii="仿宋" w:eastAsia="仿宋" w:hAnsi="仿宋"/>
          <w:sz w:val="32"/>
          <w:szCs w:val="32"/>
        </w:rPr>
      </w:pPr>
      <w:r>
        <w:rPr>
          <w:rFonts w:ascii="仿宋" w:eastAsia="仿宋" w:hAnsi="仿宋" w:hint="eastAsia"/>
          <w:sz w:val="32"/>
          <w:szCs w:val="32"/>
        </w:rPr>
        <w:t>公寓楼人口管理建立标签体系的最终目的是实现违法犯罪行为的精准预判和打击、关爱对象的帮扶救助。我们结合特殊群体的特点，围绕“设计、应用、</w:t>
      </w:r>
      <w:r>
        <w:rPr>
          <w:rFonts w:ascii="仿宋" w:eastAsia="仿宋" w:hAnsi="仿宋" w:hint="eastAsia"/>
          <w:sz w:val="32"/>
          <w:szCs w:val="32"/>
        </w:rPr>
        <w:t>优化</w:t>
      </w:r>
      <w:r>
        <w:rPr>
          <w:rFonts w:ascii="仿宋" w:eastAsia="仿宋" w:hAnsi="仿宋" w:hint="eastAsia"/>
          <w:sz w:val="32"/>
          <w:szCs w:val="32"/>
        </w:rPr>
        <w:t>”</w:t>
      </w:r>
      <w:r>
        <w:rPr>
          <w:rFonts w:ascii="仿宋" w:eastAsia="仿宋" w:hAnsi="仿宋" w:hint="eastAsia"/>
          <w:sz w:val="32"/>
          <w:szCs w:val="32"/>
        </w:rPr>
        <w:t>3</w:t>
      </w:r>
      <w:r>
        <w:rPr>
          <w:rFonts w:ascii="仿宋" w:eastAsia="仿宋" w:hAnsi="仿宋" w:hint="eastAsia"/>
          <w:sz w:val="32"/>
          <w:szCs w:val="32"/>
        </w:rPr>
        <w:t>个环节实现住户标签的构建及全生命周期管理。</w:t>
      </w:r>
    </w:p>
    <w:p w:rsidR="00845ECD" w:rsidRDefault="00E82E99">
      <w:pPr>
        <w:spacing w:line="560" w:lineRule="exact"/>
        <w:ind w:firstLineChars="200" w:firstLine="640"/>
        <w:rPr>
          <w:rFonts w:ascii="仿宋" w:eastAsia="仿宋" w:hAnsi="仿宋"/>
          <w:sz w:val="32"/>
          <w:szCs w:val="32"/>
        </w:rPr>
      </w:pPr>
      <w:r>
        <w:rPr>
          <w:rFonts w:ascii="楷体_GB2312" w:eastAsia="楷体_GB2312" w:hAnsi="楷体_GB2312" w:cs="楷体_GB2312" w:hint="eastAsia"/>
          <w:sz w:val="32"/>
          <w:szCs w:val="32"/>
        </w:rPr>
        <w:t>（一）</w:t>
      </w:r>
      <w:r>
        <w:rPr>
          <w:rFonts w:ascii="楷体_GB2312" w:eastAsia="楷体_GB2312" w:hAnsi="楷体_GB2312" w:cs="楷体_GB2312" w:hint="eastAsia"/>
          <w:sz w:val="32"/>
          <w:szCs w:val="32"/>
        </w:rPr>
        <w:t>在设计层面，</w:t>
      </w:r>
      <w:r>
        <w:rPr>
          <w:rFonts w:ascii="仿宋" w:eastAsia="仿宋" w:hAnsi="仿宋" w:hint="eastAsia"/>
          <w:sz w:val="32"/>
          <w:szCs w:val="32"/>
        </w:rPr>
        <w:t>住户标签体系包含了数据源、维度分析、标签分类，我们结合现有的门禁数据及警务数据，归纳特殊群体在各标签分类中</w:t>
      </w:r>
      <w:r>
        <w:rPr>
          <w:rFonts w:ascii="仿宋" w:eastAsia="仿宋" w:hAnsi="仿宋" w:hint="eastAsia"/>
          <w:sz w:val="32"/>
          <w:szCs w:val="32"/>
        </w:rPr>
        <w:t>区</w:t>
      </w:r>
      <w:r>
        <w:rPr>
          <w:rFonts w:ascii="仿宋" w:eastAsia="仿宋" w:hAnsi="仿宋" w:hint="eastAsia"/>
          <w:sz w:val="32"/>
          <w:szCs w:val="32"/>
        </w:rPr>
        <w:t>别于常人的相应指标。再根据对住户历史数据的加工、清洗、运算，刻画住户实时画像，识别住户特征，提炼住户标签。将住户标签化，可以方便公安机关挖掘收集各类违法犯罪线索及关爱群体的异常状况，实现精准打击和有效</w:t>
      </w:r>
      <w:r>
        <w:rPr>
          <w:rFonts w:ascii="仿宋" w:eastAsia="仿宋" w:hAnsi="仿宋" w:hint="eastAsia"/>
          <w:sz w:val="32"/>
          <w:szCs w:val="32"/>
        </w:rPr>
        <w:t>救助。</w:t>
      </w:r>
    </w:p>
    <w:p w:rsidR="00845ECD" w:rsidRDefault="00E82E99">
      <w:pPr>
        <w:spacing w:line="560" w:lineRule="exact"/>
        <w:ind w:firstLineChars="200" w:firstLine="640"/>
        <w:rPr>
          <w:rFonts w:ascii="仿宋" w:eastAsia="仿宋" w:hAnsi="仿宋"/>
          <w:sz w:val="32"/>
          <w:szCs w:val="32"/>
        </w:rPr>
      </w:pPr>
      <w:r>
        <w:rPr>
          <w:rFonts w:ascii="楷体_GB2312" w:eastAsia="楷体_GB2312" w:hAnsi="楷体_GB2312" w:cs="楷体_GB2312" w:hint="eastAsia"/>
          <w:sz w:val="32"/>
          <w:szCs w:val="32"/>
        </w:rPr>
        <w:t>（二）在应用层面，</w:t>
      </w:r>
      <w:r>
        <w:rPr>
          <w:rFonts w:ascii="仿宋" w:eastAsia="仿宋" w:hAnsi="仿宋" w:hint="eastAsia"/>
          <w:sz w:val="32"/>
          <w:szCs w:val="32"/>
        </w:rPr>
        <w:t>住户标签应用体系分为数据汇总层、标签指标层、标签应用层三大层级。数据汇总层为基础层，包含门禁系统采集的进出门记录数据及各警务数据，标签指标层为住户</w:t>
      </w:r>
      <w:r>
        <w:rPr>
          <w:rFonts w:ascii="仿宋" w:eastAsia="仿宋" w:hAnsi="仿宋" w:hint="eastAsia"/>
          <w:sz w:val="32"/>
          <w:szCs w:val="32"/>
        </w:rPr>
        <w:lastRenderedPageBreak/>
        <w:t>在人员属性、活动轨迹和特殊行为方面的具体指标，标签应用层提供</w:t>
      </w:r>
      <w:r>
        <w:rPr>
          <w:rFonts w:ascii="仿宋" w:eastAsia="仿宋" w:hAnsi="仿宋" w:hint="eastAsia"/>
          <w:sz w:val="32"/>
          <w:szCs w:val="32"/>
        </w:rPr>
        <w:t>对</w:t>
      </w:r>
      <w:r>
        <w:rPr>
          <w:rFonts w:ascii="仿宋" w:eastAsia="仿宋" w:hAnsi="仿宋" w:hint="eastAsia"/>
          <w:sz w:val="32"/>
          <w:szCs w:val="32"/>
        </w:rPr>
        <w:t>重点人员</w:t>
      </w:r>
      <w:r>
        <w:rPr>
          <w:rFonts w:ascii="仿宋" w:eastAsia="仿宋" w:hAnsi="仿宋" w:hint="eastAsia"/>
          <w:sz w:val="32"/>
          <w:szCs w:val="32"/>
        </w:rPr>
        <w:t>、</w:t>
      </w:r>
      <w:r>
        <w:rPr>
          <w:rFonts w:ascii="仿宋" w:eastAsia="仿宋" w:hAnsi="仿宋" w:hint="eastAsia"/>
          <w:sz w:val="32"/>
          <w:szCs w:val="32"/>
        </w:rPr>
        <w:t>服务民生</w:t>
      </w:r>
      <w:r>
        <w:rPr>
          <w:rFonts w:ascii="仿宋" w:eastAsia="仿宋" w:hAnsi="仿宋" w:hint="eastAsia"/>
          <w:sz w:val="32"/>
          <w:szCs w:val="32"/>
        </w:rPr>
        <w:t>对象等特定人群的</w:t>
      </w:r>
      <w:r>
        <w:rPr>
          <w:rFonts w:ascii="仿宋" w:eastAsia="仿宋" w:hAnsi="仿宋" w:hint="eastAsia"/>
          <w:sz w:val="32"/>
          <w:szCs w:val="32"/>
        </w:rPr>
        <w:t>分析</w:t>
      </w:r>
      <w:r>
        <w:rPr>
          <w:rFonts w:ascii="仿宋" w:eastAsia="仿宋" w:hAnsi="仿宋" w:hint="eastAsia"/>
          <w:sz w:val="32"/>
          <w:szCs w:val="32"/>
        </w:rPr>
        <w:t>预判，并及时</w:t>
      </w:r>
      <w:r>
        <w:rPr>
          <w:rFonts w:ascii="仿宋" w:eastAsia="仿宋" w:hAnsi="仿宋" w:hint="eastAsia"/>
          <w:sz w:val="32"/>
          <w:szCs w:val="32"/>
        </w:rPr>
        <w:t>进行推送和</w:t>
      </w:r>
      <w:r>
        <w:rPr>
          <w:rFonts w:ascii="仿宋" w:eastAsia="仿宋" w:hAnsi="仿宋" w:hint="eastAsia"/>
          <w:sz w:val="32"/>
          <w:szCs w:val="32"/>
        </w:rPr>
        <w:t>预</w:t>
      </w:r>
      <w:r>
        <w:rPr>
          <w:rFonts w:ascii="仿宋" w:eastAsia="仿宋" w:hAnsi="仿宋" w:hint="eastAsia"/>
          <w:sz w:val="32"/>
          <w:szCs w:val="32"/>
        </w:rPr>
        <w:t>警。</w:t>
      </w:r>
    </w:p>
    <w:p w:rsidR="00845ECD" w:rsidRDefault="00E82E99">
      <w:pPr>
        <w:spacing w:line="560" w:lineRule="exact"/>
        <w:ind w:firstLineChars="200" w:firstLine="640"/>
        <w:rPr>
          <w:rFonts w:ascii="仿宋" w:eastAsia="仿宋" w:hAnsi="仿宋"/>
          <w:sz w:val="32"/>
          <w:szCs w:val="32"/>
        </w:rPr>
      </w:pPr>
      <w:r>
        <w:rPr>
          <w:rFonts w:ascii="楷体_GB2312" w:eastAsia="楷体_GB2312" w:hAnsi="楷体_GB2312" w:cs="楷体_GB2312" w:hint="eastAsia"/>
          <w:sz w:val="32"/>
          <w:szCs w:val="32"/>
        </w:rPr>
        <w:t>（三）在优化层面，</w:t>
      </w:r>
      <w:r>
        <w:rPr>
          <w:rFonts w:ascii="仿宋" w:eastAsia="仿宋" w:hAnsi="仿宋" w:hint="eastAsia"/>
          <w:sz w:val="32"/>
          <w:szCs w:val="32"/>
        </w:rPr>
        <w:t>我们立足实际，在标签体系构建、标签存储实现和标签系统管理等方面进行进行实时的调整与维护，实现“目标群体特征归纳—标签设计—标签应用—应用效果反馈—优化标签”的应用闭环。这样我们一方面可以在实际应用中根据现实情况实时提升标签精准度，另一方面能够根据人员的活跃程度对已标签的重点人员进行动态化的监测，对已逐渐丧失活跃度的关注人员标签予以撤销。对标签体系的评估和调整是为了通过对标签的全生命周期管理，实现公寓楼住户标签的实时更新，提升住户标签的精准度。</w:t>
      </w:r>
    </w:p>
    <w:p w:rsidR="00845ECD" w:rsidRDefault="00845ECD">
      <w:pPr>
        <w:spacing w:line="560" w:lineRule="exact"/>
        <w:ind w:firstLineChars="200" w:firstLine="640"/>
        <w:rPr>
          <w:rFonts w:ascii="仿宋" w:eastAsia="仿宋" w:hAnsi="仿宋"/>
          <w:sz w:val="32"/>
          <w:szCs w:val="32"/>
        </w:rPr>
      </w:pPr>
    </w:p>
    <w:p w:rsidR="00845ECD" w:rsidRDefault="00845ECD">
      <w:pPr>
        <w:spacing w:line="560" w:lineRule="exact"/>
        <w:ind w:firstLineChars="200" w:firstLine="640"/>
        <w:rPr>
          <w:rFonts w:ascii="仿宋" w:eastAsia="仿宋" w:hAnsi="仿宋"/>
          <w:sz w:val="32"/>
          <w:szCs w:val="32"/>
        </w:rPr>
      </w:pPr>
    </w:p>
    <w:p w:rsidR="00845ECD" w:rsidRDefault="00845ECD">
      <w:pPr>
        <w:spacing w:line="560" w:lineRule="exact"/>
        <w:ind w:firstLineChars="200" w:firstLine="640"/>
        <w:rPr>
          <w:rFonts w:ascii="仿宋" w:eastAsia="仿宋" w:hAnsi="仿宋"/>
          <w:sz w:val="32"/>
          <w:szCs w:val="32"/>
        </w:rPr>
      </w:pPr>
    </w:p>
    <w:sectPr w:rsidR="00845ECD">
      <w:pgSz w:w="11906" w:h="16838"/>
      <w:pgMar w:top="2154" w:right="1474" w:bottom="2041" w:left="1587" w:header="851" w:footer="992" w:gutter="0"/>
      <w:cols w:space="72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E99" w:rsidRDefault="00E82E99" w:rsidP="00436AB6">
      <w:r>
        <w:separator/>
      </w:r>
    </w:p>
  </w:endnote>
  <w:endnote w:type="continuationSeparator" w:id="0">
    <w:p w:rsidR="00E82E99" w:rsidRDefault="00E82E99" w:rsidP="0043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仿宋_GB2312"/>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Cambria">
    <w:altName w:val="Palatino Linotype"/>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E99" w:rsidRDefault="00E82E99" w:rsidP="00436AB6">
      <w:r>
        <w:separator/>
      </w:r>
    </w:p>
  </w:footnote>
  <w:footnote w:type="continuationSeparator" w:id="0">
    <w:p w:rsidR="00E82E99" w:rsidRDefault="00E82E99" w:rsidP="00436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6A8B5"/>
    <w:multiLevelType w:val="singleLevel"/>
    <w:tmpl w:val="5A26A8B5"/>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8"/>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CD"/>
    <w:rsid w:val="00436AB6"/>
    <w:rsid w:val="00845ECD"/>
    <w:rsid w:val="00E8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B715B6-1BF2-4FD0-8216-0E861312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6.8645640074211506E-2"/>
          <c:y val="0.15639810426540285"/>
          <c:w val="0.686456400742115"/>
          <c:h val="0.69668246445497628"/>
        </c:manualLayout>
      </c:layout>
      <c:pie3DChart>
        <c:varyColors val="1"/>
        <c:ser>
          <c:idx val="0"/>
          <c:order val="0"/>
          <c:tx>
            <c:strRef>
              <c:f>Sheet1!$A$2</c:f>
              <c:strCache>
                <c:ptCount val="1"/>
                <c:pt idx="0">
                  <c:v>年龄组成</c:v>
                </c:pt>
              </c:strCache>
            </c:strRef>
          </c:tx>
          <c:spPr>
            <a:solidFill>
              <a:srgbClr val="FFFFFF"/>
            </a:solidFill>
            <a:ln w="11819">
              <a:solidFill>
                <a:srgbClr val="000000"/>
              </a:solidFill>
              <a:prstDash val="solid"/>
            </a:ln>
          </c:spPr>
          <c:dPt>
            <c:idx val="0"/>
            <c:bubble3D val="0"/>
            <c:spPr>
              <a:solidFill>
                <a:srgbClr val="FFFF99"/>
              </a:solidFill>
              <a:ln w="11819">
                <a:solidFill>
                  <a:srgbClr val="000000"/>
                </a:solidFill>
                <a:prstDash val="solid"/>
              </a:ln>
            </c:spPr>
            <c:extLst>
              <c:ext xmlns:c16="http://schemas.microsoft.com/office/drawing/2014/chart" uri="{C3380CC4-5D6E-409C-BE32-E72D297353CC}">
                <c16:uniqueId val="{00000000-8022-4445-ABF3-408C8130064E}"/>
              </c:ext>
            </c:extLst>
          </c:dPt>
          <c:dPt>
            <c:idx val="1"/>
            <c:bubble3D val="0"/>
            <c:spPr>
              <a:solidFill>
                <a:srgbClr val="008080"/>
              </a:solidFill>
              <a:ln w="11819">
                <a:solidFill>
                  <a:srgbClr val="000000"/>
                </a:solidFill>
                <a:prstDash val="solid"/>
              </a:ln>
            </c:spPr>
            <c:extLst>
              <c:ext xmlns:c16="http://schemas.microsoft.com/office/drawing/2014/chart" uri="{C3380CC4-5D6E-409C-BE32-E72D297353CC}">
                <c16:uniqueId val="{00000001-8022-4445-ABF3-408C8130064E}"/>
              </c:ext>
            </c:extLst>
          </c:dPt>
          <c:dPt>
            <c:idx val="2"/>
            <c:bubble3D val="0"/>
            <c:spPr>
              <a:solidFill>
                <a:srgbClr val="00CCFF"/>
              </a:solidFill>
              <a:ln w="11819">
                <a:solidFill>
                  <a:srgbClr val="000000"/>
                </a:solidFill>
                <a:prstDash val="solid"/>
              </a:ln>
            </c:spPr>
            <c:extLst>
              <c:ext xmlns:c16="http://schemas.microsoft.com/office/drawing/2014/chart" uri="{C3380CC4-5D6E-409C-BE32-E72D297353CC}">
                <c16:uniqueId val="{00000002-8022-4445-ABF3-408C8130064E}"/>
              </c:ext>
            </c:extLst>
          </c:dPt>
          <c:dPt>
            <c:idx val="3"/>
            <c:bubble3D val="0"/>
            <c:explosion val="43"/>
            <c:spPr>
              <a:solidFill>
                <a:srgbClr val="CC99FF"/>
              </a:solidFill>
              <a:ln w="11819">
                <a:solidFill>
                  <a:srgbClr val="000000"/>
                </a:solidFill>
                <a:prstDash val="solid"/>
              </a:ln>
            </c:spPr>
            <c:extLst>
              <c:ext xmlns:c16="http://schemas.microsoft.com/office/drawing/2014/chart" uri="{C3380CC4-5D6E-409C-BE32-E72D297353CC}">
                <c16:uniqueId val="{00000003-8022-4445-ABF3-408C8130064E}"/>
              </c:ext>
            </c:extLst>
          </c:dPt>
          <c:cat>
            <c:strRef>
              <c:f>Sheet1!$B$1:$E$1</c:f>
              <c:strCache>
                <c:ptCount val="4"/>
                <c:pt idx="0">
                  <c:v>70年—79年</c:v>
                </c:pt>
                <c:pt idx="1">
                  <c:v>80年—89年</c:v>
                </c:pt>
                <c:pt idx="2">
                  <c:v>90年—99年</c:v>
                </c:pt>
                <c:pt idx="3">
                  <c:v>其他</c:v>
                </c:pt>
              </c:strCache>
            </c:strRef>
          </c:cat>
          <c:val>
            <c:numRef>
              <c:f>Sheet1!$B$2:$E$2</c:f>
              <c:numCache>
                <c:formatCode>0.00%</c:formatCode>
                <c:ptCount val="4"/>
                <c:pt idx="0">
                  <c:v>0.253</c:v>
                </c:pt>
                <c:pt idx="1">
                  <c:v>0.40300000000000002</c:v>
                </c:pt>
                <c:pt idx="2">
                  <c:v>0.254</c:v>
                </c:pt>
                <c:pt idx="3" formatCode="0%">
                  <c:v>0.09</c:v>
                </c:pt>
              </c:numCache>
            </c:numRef>
          </c:val>
          <c:extLst>
            <c:ext xmlns:c16="http://schemas.microsoft.com/office/drawing/2014/chart" uri="{C3380CC4-5D6E-409C-BE32-E72D297353CC}">
              <c16:uniqueId val="{00000004-8022-4445-ABF3-408C8130064E}"/>
            </c:ext>
          </c:extLst>
        </c:ser>
        <c:ser>
          <c:idx val="1"/>
          <c:order val="1"/>
          <c:tx>
            <c:strRef>
              <c:f>Sheet1!$A$3</c:f>
              <c:strCache>
                <c:ptCount val="1"/>
              </c:strCache>
            </c:strRef>
          </c:tx>
          <c:spPr>
            <a:solidFill>
              <a:srgbClr val="993366"/>
            </a:solidFill>
            <a:ln w="11819">
              <a:solidFill>
                <a:srgbClr val="000000"/>
              </a:solidFill>
              <a:prstDash val="solid"/>
            </a:ln>
          </c:spPr>
          <c:dPt>
            <c:idx val="0"/>
            <c:bubble3D val="0"/>
            <c:spPr>
              <a:solidFill>
                <a:srgbClr val="9999FF"/>
              </a:solidFill>
              <a:ln w="11819">
                <a:solidFill>
                  <a:srgbClr val="000000"/>
                </a:solidFill>
                <a:prstDash val="solid"/>
              </a:ln>
            </c:spPr>
            <c:extLst>
              <c:ext xmlns:c16="http://schemas.microsoft.com/office/drawing/2014/chart" uri="{C3380CC4-5D6E-409C-BE32-E72D297353CC}">
                <c16:uniqueId val="{00000005-8022-4445-ABF3-408C8130064E}"/>
              </c:ext>
            </c:extLst>
          </c:dPt>
          <c:dPt>
            <c:idx val="1"/>
            <c:bubble3D val="0"/>
            <c:extLst>
              <c:ext xmlns:c16="http://schemas.microsoft.com/office/drawing/2014/chart" uri="{C3380CC4-5D6E-409C-BE32-E72D297353CC}">
                <c16:uniqueId val="{00000006-8022-4445-ABF3-408C8130064E}"/>
              </c:ext>
            </c:extLst>
          </c:dPt>
          <c:dPt>
            <c:idx val="2"/>
            <c:bubble3D val="0"/>
            <c:spPr>
              <a:solidFill>
                <a:srgbClr val="FFFFCC"/>
              </a:solidFill>
              <a:ln w="11819">
                <a:solidFill>
                  <a:srgbClr val="000000"/>
                </a:solidFill>
                <a:prstDash val="solid"/>
              </a:ln>
            </c:spPr>
            <c:extLst>
              <c:ext xmlns:c16="http://schemas.microsoft.com/office/drawing/2014/chart" uri="{C3380CC4-5D6E-409C-BE32-E72D297353CC}">
                <c16:uniqueId val="{00000007-8022-4445-ABF3-408C8130064E}"/>
              </c:ext>
            </c:extLst>
          </c:dPt>
          <c:dPt>
            <c:idx val="3"/>
            <c:bubble3D val="0"/>
            <c:spPr>
              <a:solidFill>
                <a:srgbClr val="CCFFFF"/>
              </a:solidFill>
              <a:ln w="11819">
                <a:solidFill>
                  <a:srgbClr val="000000"/>
                </a:solidFill>
                <a:prstDash val="solid"/>
              </a:ln>
            </c:spPr>
            <c:extLst>
              <c:ext xmlns:c16="http://schemas.microsoft.com/office/drawing/2014/chart" uri="{C3380CC4-5D6E-409C-BE32-E72D297353CC}">
                <c16:uniqueId val="{00000008-8022-4445-ABF3-408C8130064E}"/>
              </c:ext>
            </c:extLst>
          </c:dPt>
          <c:cat>
            <c:strRef>
              <c:f>Sheet1!$B$1:$E$1</c:f>
              <c:strCache>
                <c:ptCount val="4"/>
                <c:pt idx="0">
                  <c:v>70年—79年</c:v>
                </c:pt>
                <c:pt idx="1">
                  <c:v>80年—89年</c:v>
                </c:pt>
                <c:pt idx="2">
                  <c:v>90年—99年</c:v>
                </c:pt>
                <c:pt idx="3">
                  <c:v>其他</c:v>
                </c:pt>
              </c:strCache>
            </c:strRef>
          </c:cat>
          <c:val>
            <c:numRef>
              <c:f>Sheet1!$B$3:$E$3</c:f>
              <c:numCache>
                <c:formatCode>General</c:formatCode>
                <c:ptCount val="4"/>
              </c:numCache>
            </c:numRef>
          </c:val>
          <c:extLst>
            <c:ext xmlns:c16="http://schemas.microsoft.com/office/drawing/2014/chart" uri="{C3380CC4-5D6E-409C-BE32-E72D297353CC}">
              <c16:uniqueId val="{00000009-8022-4445-ABF3-408C8130064E}"/>
            </c:ext>
          </c:extLst>
        </c:ser>
        <c:dLbls>
          <c:showLegendKey val="0"/>
          <c:showVal val="0"/>
          <c:showCatName val="0"/>
          <c:showSerName val="0"/>
          <c:showPercent val="0"/>
          <c:showBubbleSize val="0"/>
          <c:showLeaderLines val="1"/>
        </c:dLbls>
      </c:pie3DChart>
      <c:spPr>
        <a:solidFill>
          <a:srgbClr val="C0C0C0"/>
        </a:solidFill>
        <a:ln w="11819">
          <a:solidFill>
            <a:srgbClr val="808080"/>
          </a:solidFill>
          <a:prstDash val="solid"/>
        </a:ln>
      </c:spPr>
    </c:plotArea>
    <c:legend>
      <c:legendPos val="r"/>
      <c:layout>
        <c:manualLayout>
          <c:xMode val="edge"/>
          <c:yMode val="edge"/>
          <c:x val="0.82189239332096475"/>
          <c:y val="0.31753554502369669"/>
          <c:w val="0.17068645640074212"/>
          <c:h val="0.36492890995260663"/>
        </c:manualLayout>
      </c:layout>
      <c:overlay val="0"/>
      <c:spPr>
        <a:noFill/>
        <a:ln w="2955">
          <a:solidFill>
            <a:srgbClr val="000000"/>
          </a:solidFill>
          <a:prstDash val="solid"/>
        </a:ln>
      </c:spPr>
      <c:txPr>
        <a:bodyPr/>
        <a:lstStyle/>
        <a:p>
          <a:pPr>
            <a:defRPr sz="898"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9525" cap="flat" cmpd="sng" algn="ctr">
      <a:solidFill>
        <a:srgbClr val="FFFFFF"/>
      </a:solidFill>
      <a:prstDash val="solid"/>
      <a:miter lim="200000"/>
      <a:headEnd type="none" w="med" len="med"/>
      <a:tailEnd type="none" w="med" len="med"/>
    </a:ln>
  </c:spPr>
  <c:txPr>
    <a:bodyPr/>
    <a:lstStyle/>
    <a:p>
      <a:pPr>
        <a:defRPr sz="977"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6.6793893129770993E-2"/>
          <c:y val="0.15025906735751296"/>
          <c:w val="0.65839694656488545"/>
          <c:h val="0.70466321243523311"/>
        </c:manualLayout>
      </c:layout>
      <c:pie3DChart>
        <c:varyColors val="1"/>
        <c:ser>
          <c:idx val="0"/>
          <c:order val="0"/>
          <c:tx>
            <c:strRef>
              <c:f>Sheet1!$A$2</c:f>
              <c:strCache>
                <c:ptCount val="1"/>
                <c:pt idx="0">
                  <c:v>缴纳社保情况</c:v>
                </c:pt>
              </c:strCache>
            </c:strRef>
          </c:tx>
          <c:spPr>
            <a:solidFill>
              <a:srgbClr val="660066"/>
            </a:solidFill>
            <a:ln w="11707">
              <a:solidFill>
                <a:srgbClr val="000000"/>
              </a:solidFill>
              <a:prstDash val="solid"/>
            </a:ln>
          </c:spPr>
          <c:dPt>
            <c:idx val="0"/>
            <c:bubble3D val="0"/>
            <c:explosion val="24"/>
            <c:spPr>
              <a:solidFill>
                <a:srgbClr val="CCCCFF"/>
              </a:solidFill>
              <a:ln w="11707">
                <a:solidFill>
                  <a:srgbClr val="000000"/>
                </a:solidFill>
                <a:prstDash val="solid"/>
              </a:ln>
            </c:spPr>
            <c:extLst>
              <c:ext xmlns:c16="http://schemas.microsoft.com/office/drawing/2014/chart" uri="{C3380CC4-5D6E-409C-BE32-E72D297353CC}">
                <c16:uniqueId val="{00000000-5486-4670-B039-7864A8260CEC}"/>
              </c:ext>
            </c:extLst>
          </c:dPt>
          <c:dPt>
            <c:idx val="1"/>
            <c:bubble3D val="0"/>
            <c:extLst>
              <c:ext xmlns:c16="http://schemas.microsoft.com/office/drawing/2014/chart" uri="{C3380CC4-5D6E-409C-BE32-E72D297353CC}">
                <c16:uniqueId val="{00000001-5486-4670-B039-7864A8260CEC}"/>
              </c:ext>
            </c:extLst>
          </c:dPt>
          <c:cat>
            <c:strRef>
              <c:f>Sheet1!$B$1:$C$1</c:f>
              <c:strCache>
                <c:ptCount val="2"/>
                <c:pt idx="0">
                  <c:v>正常缴纳9%</c:v>
                </c:pt>
                <c:pt idx="1">
                  <c:v>未正常缴纳91%</c:v>
                </c:pt>
              </c:strCache>
            </c:strRef>
          </c:cat>
          <c:val>
            <c:numRef>
              <c:f>Sheet1!$B$2:$C$2</c:f>
              <c:numCache>
                <c:formatCode>0%</c:formatCode>
                <c:ptCount val="2"/>
                <c:pt idx="0">
                  <c:v>0.09</c:v>
                </c:pt>
                <c:pt idx="1">
                  <c:v>0.91</c:v>
                </c:pt>
              </c:numCache>
            </c:numRef>
          </c:val>
          <c:extLst>
            <c:ext xmlns:c16="http://schemas.microsoft.com/office/drawing/2014/chart" uri="{C3380CC4-5D6E-409C-BE32-E72D297353CC}">
              <c16:uniqueId val="{00000002-5486-4670-B039-7864A8260CEC}"/>
            </c:ext>
          </c:extLst>
        </c:ser>
        <c:dLbls>
          <c:showLegendKey val="0"/>
          <c:showVal val="0"/>
          <c:showCatName val="0"/>
          <c:showSerName val="0"/>
          <c:showPercent val="0"/>
          <c:showBubbleSize val="0"/>
          <c:showLeaderLines val="1"/>
        </c:dLbls>
      </c:pie3DChart>
      <c:spPr>
        <a:solidFill>
          <a:srgbClr val="C0C0C0"/>
        </a:solidFill>
        <a:ln w="11707">
          <a:solidFill>
            <a:srgbClr val="808080"/>
          </a:solidFill>
          <a:prstDash val="solid"/>
        </a:ln>
      </c:spPr>
    </c:plotArea>
    <c:legend>
      <c:legendPos val="r"/>
      <c:layout>
        <c:manualLayout>
          <c:xMode val="edge"/>
          <c:yMode val="edge"/>
          <c:x val="0.79007633587786263"/>
          <c:y val="0.40414507772020725"/>
          <c:w val="0.20229007633587787"/>
          <c:h val="0.19170984455958548"/>
        </c:manualLayout>
      </c:layout>
      <c:overlay val="0"/>
      <c:spPr>
        <a:noFill/>
        <a:ln w="2927">
          <a:solidFill>
            <a:srgbClr val="000000"/>
          </a:solidFill>
          <a:prstDash val="solid"/>
        </a:ln>
      </c:spPr>
      <c:txPr>
        <a:bodyPr/>
        <a:lstStyle/>
        <a:p>
          <a:pPr>
            <a:defRPr sz="802"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9525" cap="flat" cmpd="sng" algn="ctr">
      <a:solidFill>
        <a:srgbClr val="FFFFFF"/>
      </a:solidFill>
      <a:prstDash val="solid"/>
      <a:miter lim="200000"/>
      <a:headEnd type="none" w="med" len="med"/>
      <a:tailEnd type="none" w="med" len="med"/>
    </a:ln>
  </c:spPr>
  <c:txPr>
    <a:bodyPr/>
    <a:lstStyle/>
    <a:p>
      <a:pPr>
        <a:defRPr sz="876"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5.6951423785594639E-2"/>
          <c:y val="0.17098445595854922"/>
          <c:w val="0.542713567839196"/>
          <c:h val="0.66321243523316065"/>
        </c:manualLayout>
      </c:layout>
      <c:pie3DChart>
        <c:varyColors val="1"/>
        <c:ser>
          <c:idx val="0"/>
          <c:order val="0"/>
          <c:tx>
            <c:strRef>
              <c:f>Sheet1!$A$2</c:f>
              <c:strCache>
                <c:ptCount val="1"/>
                <c:pt idx="0">
                  <c:v>东部</c:v>
                </c:pt>
              </c:strCache>
            </c:strRef>
          </c:tx>
          <c:spPr>
            <a:solidFill>
              <a:srgbClr val="9999FF"/>
            </a:solidFill>
            <a:ln w="12700">
              <a:solidFill>
                <a:srgbClr val="000000"/>
              </a:solidFill>
              <a:prstDash val="solid"/>
            </a:ln>
          </c:spPr>
          <c:explosion val="10"/>
          <c:dPt>
            <c:idx val="0"/>
            <c:bubble3D val="0"/>
            <c:spPr>
              <a:solidFill>
                <a:srgbClr val="CC99FF"/>
              </a:solidFill>
              <a:ln w="12700">
                <a:solidFill>
                  <a:srgbClr val="000000"/>
                </a:solidFill>
                <a:prstDash val="solid"/>
              </a:ln>
            </c:spPr>
            <c:extLst>
              <c:ext xmlns:c16="http://schemas.microsoft.com/office/drawing/2014/chart" uri="{C3380CC4-5D6E-409C-BE32-E72D297353CC}">
                <c16:uniqueId val="{00000000-031C-4040-9E1E-B63691AC2C67}"/>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1-031C-4040-9E1E-B63691AC2C67}"/>
              </c:ext>
            </c:extLst>
          </c:dPt>
          <c:cat>
            <c:strRef>
              <c:f>Sheet1!$B$1:$E$1</c:f>
              <c:strCache>
                <c:ptCount val="2"/>
                <c:pt idx="0">
                  <c:v>复吸被公安机关抓获的人员48%</c:v>
                </c:pt>
                <c:pt idx="1">
                  <c:v>一次戒断和复吸后未被公安机关抓获52%</c:v>
                </c:pt>
              </c:strCache>
            </c:strRef>
          </c:cat>
          <c:val>
            <c:numRef>
              <c:f>Sheet1!$B$2:$E$2</c:f>
              <c:numCache>
                <c:formatCode>0%</c:formatCode>
                <c:ptCount val="2"/>
                <c:pt idx="0">
                  <c:v>0.48</c:v>
                </c:pt>
                <c:pt idx="1">
                  <c:v>0.52</c:v>
                </c:pt>
              </c:numCache>
            </c:numRef>
          </c:val>
          <c:extLst>
            <c:ext xmlns:c16="http://schemas.microsoft.com/office/drawing/2014/chart" uri="{C3380CC4-5D6E-409C-BE32-E72D297353CC}">
              <c16:uniqueId val="{00000002-031C-4040-9E1E-B63691AC2C67}"/>
            </c:ext>
          </c:extLst>
        </c:ser>
        <c:dLbls>
          <c:showLegendKey val="0"/>
          <c:showVal val="0"/>
          <c:showCatName val="0"/>
          <c:showSerName val="0"/>
          <c:showPercent val="0"/>
          <c:showBubbleSize val="0"/>
          <c:showLeaderLines val="1"/>
        </c:dLbls>
      </c:pie3DChart>
      <c:spPr>
        <a:solidFill>
          <a:srgbClr val="C0C0C0"/>
        </a:solidFill>
        <a:ln w="12700">
          <a:solidFill>
            <a:srgbClr val="808080"/>
          </a:solidFill>
          <a:prstDash val="solid"/>
        </a:ln>
      </c:spPr>
    </c:plotArea>
    <c:legend>
      <c:legendPos val="r"/>
      <c:layout>
        <c:manualLayout>
          <c:xMode val="edge"/>
          <c:yMode val="edge"/>
          <c:x val="0.65494137353433834"/>
          <c:y val="0.32642487046632124"/>
          <c:w val="0.33835845896147404"/>
          <c:h val="0.34715025906735753"/>
        </c:manualLayout>
      </c:layout>
      <c:overlay val="0"/>
      <c:spPr>
        <a:noFill/>
        <a:ln w="3175">
          <a:solidFill>
            <a:srgbClr val="000000"/>
          </a:solidFill>
          <a:prstDash val="solid"/>
        </a:ln>
      </c:spPr>
      <c:txPr>
        <a:bodyPr/>
        <a:lstStyle/>
        <a:p>
          <a:pPr>
            <a:defRPr sz="870"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9525" cap="flat" cmpd="sng" algn="ctr">
      <a:solidFill>
        <a:srgbClr val="FFFFFF"/>
      </a:solidFill>
      <a:prstDash val="solid"/>
      <a:miter lim="200000"/>
      <a:headEnd type="none" w="med" len="med"/>
      <a:tailEnd type="none" w="med" len="med"/>
    </a:ln>
  </c:spPr>
  <c:txPr>
    <a:bodyPr/>
    <a:lstStyle/>
    <a:p>
      <a:pPr>
        <a:defRPr sz="950" b="0" i="0" u="none" strike="noStrike" baseline="0">
          <a:solidFill>
            <a:srgbClr val="000000"/>
          </a:solidFill>
          <a:latin typeface="宋体"/>
          <a:ea typeface="宋体"/>
          <a:cs typeface="宋体"/>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39"/>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6.3076923076923072E-2"/>
          <c:y val="5.6872037914691941E-2"/>
          <c:w val="0.70769230769230773"/>
          <c:h val="0.78199052132701419"/>
        </c:manualLayout>
      </c:layout>
      <c:bar3DChart>
        <c:barDir val="col"/>
        <c:grouping val="clustered"/>
        <c:varyColors val="0"/>
        <c:ser>
          <c:idx val="0"/>
          <c:order val="0"/>
          <c:tx>
            <c:strRef>
              <c:f>Sheet1!$A$2</c:f>
              <c:strCache>
                <c:ptCount val="1"/>
                <c:pt idx="0">
                  <c:v>比中涉毒人员比例</c:v>
                </c:pt>
              </c:strCache>
            </c:strRef>
          </c:tx>
          <c:spPr>
            <a:solidFill>
              <a:srgbClr val="00CCFF"/>
            </a:solidFill>
            <a:ln w="11736">
              <a:solidFill>
                <a:srgbClr val="000000"/>
              </a:solidFill>
              <a:prstDash val="solid"/>
            </a:ln>
          </c:spPr>
          <c:invertIfNegative val="0"/>
          <c:cat>
            <c:strRef>
              <c:f>Sheet1!$B$1:$G$1</c:f>
              <c:strCache>
                <c:ptCount val="6"/>
                <c:pt idx="0">
                  <c:v>一个涉毒联系人</c:v>
                </c:pt>
                <c:pt idx="1">
                  <c:v>二个吸毒联系人</c:v>
                </c:pt>
                <c:pt idx="2">
                  <c:v>三个涉毒联系人</c:v>
                </c:pt>
                <c:pt idx="3">
                  <c:v>四个涉毒联系人</c:v>
                </c:pt>
                <c:pt idx="4">
                  <c:v>五个涉毒联系人</c:v>
                </c:pt>
                <c:pt idx="5">
                  <c:v>六个吸毒关系人</c:v>
                </c:pt>
              </c:strCache>
            </c:strRef>
          </c:cat>
          <c:val>
            <c:numRef>
              <c:f>Sheet1!$B$2:$G$2</c:f>
              <c:numCache>
                <c:formatCode>0%</c:formatCode>
                <c:ptCount val="6"/>
                <c:pt idx="0">
                  <c:v>0.12</c:v>
                </c:pt>
                <c:pt idx="1">
                  <c:v>0.17</c:v>
                </c:pt>
                <c:pt idx="2">
                  <c:v>0.28000000000000003</c:v>
                </c:pt>
                <c:pt idx="3" formatCode="0.00%">
                  <c:v>0.53500000000000003</c:v>
                </c:pt>
                <c:pt idx="4" formatCode="0.00%">
                  <c:v>0.66700000000000004</c:v>
                </c:pt>
                <c:pt idx="5">
                  <c:v>1</c:v>
                </c:pt>
              </c:numCache>
            </c:numRef>
          </c:val>
          <c:extLst>
            <c:ext xmlns:c16="http://schemas.microsoft.com/office/drawing/2014/chart" uri="{C3380CC4-5D6E-409C-BE32-E72D297353CC}">
              <c16:uniqueId val="{00000000-6405-4160-AF7B-7E808DDFE7C6}"/>
            </c:ext>
          </c:extLst>
        </c:ser>
        <c:dLbls>
          <c:showLegendKey val="0"/>
          <c:showVal val="0"/>
          <c:showCatName val="0"/>
          <c:showSerName val="0"/>
          <c:showPercent val="0"/>
          <c:showBubbleSize val="0"/>
        </c:dLbls>
        <c:gapWidth val="150"/>
        <c:gapDepth val="0"/>
        <c:shape val="box"/>
        <c:axId val="212711056"/>
        <c:axId val="1"/>
        <c:axId val="0"/>
      </c:bar3DChart>
      <c:catAx>
        <c:axId val="212711056"/>
        <c:scaling>
          <c:orientation val="minMax"/>
        </c:scaling>
        <c:delete val="0"/>
        <c:axPos val="b"/>
        <c:numFmt formatCode="General" sourceLinked="1"/>
        <c:majorTickMark val="in"/>
        <c:minorTickMark val="none"/>
        <c:tickLblPos val="low"/>
        <c:spPr>
          <a:ln w="2934">
            <a:solidFill>
              <a:srgbClr val="000000"/>
            </a:solidFill>
            <a:prstDash val="solid"/>
          </a:ln>
        </c:spPr>
        <c:txPr>
          <a:bodyPr rot="0" vert="horz"/>
          <a:lstStyle/>
          <a:p>
            <a:pPr>
              <a:defRPr sz="970" b="0" i="0" u="none" strike="noStrike" baseline="0">
                <a:solidFill>
                  <a:srgbClr val="000000"/>
                </a:solidFill>
                <a:latin typeface="宋体"/>
                <a:ea typeface="宋体"/>
                <a:cs typeface="宋体"/>
              </a:defRPr>
            </a:pPr>
            <a:endParaRPr lang="zh-CN"/>
          </a:p>
        </c:txPr>
        <c:crossAx val="1"/>
        <c:crosses val="autoZero"/>
        <c:auto val="1"/>
        <c:lblAlgn val="ctr"/>
        <c:lblOffset val="100"/>
        <c:tickLblSkip val="2"/>
        <c:tickMarkSkip val="1"/>
        <c:noMultiLvlLbl val="0"/>
      </c:catAx>
      <c:valAx>
        <c:axId val="1"/>
        <c:scaling>
          <c:orientation val="minMax"/>
        </c:scaling>
        <c:delete val="0"/>
        <c:axPos val="l"/>
        <c:majorGridlines>
          <c:spPr>
            <a:ln w="2934">
              <a:solidFill>
                <a:srgbClr val="000000"/>
              </a:solidFill>
              <a:prstDash val="solid"/>
            </a:ln>
          </c:spPr>
        </c:majorGridlines>
        <c:numFmt formatCode="0%" sourceLinked="1"/>
        <c:majorTickMark val="in"/>
        <c:minorTickMark val="none"/>
        <c:tickLblPos val="nextTo"/>
        <c:spPr>
          <a:ln w="2934">
            <a:solidFill>
              <a:srgbClr val="000000"/>
            </a:solidFill>
            <a:prstDash val="solid"/>
          </a:ln>
        </c:spPr>
        <c:txPr>
          <a:bodyPr rot="0" vert="horz"/>
          <a:lstStyle/>
          <a:p>
            <a:pPr>
              <a:defRPr sz="970" b="0" i="0" u="none" strike="noStrike" baseline="0">
                <a:solidFill>
                  <a:srgbClr val="000000"/>
                </a:solidFill>
                <a:latin typeface="宋体"/>
                <a:ea typeface="宋体"/>
                <a:cs typeface="宋体"/>
              </a:defRPr>
            </a:pPr>
            <a:endParaRPr lang="zh-CN"/>
          </a:p>
        </c:txPr>
        <c:crossAx val="212711056"/>
        <c:crosses val="autoZero"/>
        <c:crossBetween val="between"/>
      </c:valAx>
      <c:spPr>
        <a:noFill/>
        <a:ln w="23473">
          <a:noFill/>
        </a:ln>
      </c:spPr>
    </c:plotArea>
    <c:legend>
      <c:legendPos val="r"/>
      <c:layout>
        <c:manualLayout>
          <c:xMode val="edge"/>
          <c:yMode val="edge"/>
          <c:x val="0.78769230769230769"/>
          <c:y val="0.45497630331753552"/>
          <c:w val="0.20615384615384616"/>
          <c:h val="9.4786729857819899E-2"/>
        </c:manualLayout>
      </c:layout>
      <c:overlay val="0"/>
      <c:spPr>
        <a:noFill/>
        <a:ln w="2934">
          <a:solidFill>
            <a:srgbClr val="000000"/>
          </a:solidFill>
          <a:prstDash val="solid"/>
        </a:ln>
      </c:spPr>
      <c:txPr>
        <a:bodyPr/>
        <a:lstStyle/>
        <a:p>
          <a:pPr>
            <a:defRPr sz="892"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7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610</Words>
  <Characters>3480</Characters>
  <Application>Microsoft Office Word</Application>
  <DocSecurity>0</DocSecurity>
  <Lines>29</Lines>
  <Paragraphs>8</Paragraphs>
  <ScaleCrop>false</ScaleCrop>
  <Company>SkyUN.Org</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公寓楼住宅实有人口管理实战应用</dc:title>
  <dc:creator>SkyUN.Org</dc:creator>
  <cp:lastModifiedBy>Administrator</cp:lastModifiedBy>
  <cp:revision>2</cp:revision>
  <dcterms:created xsi:type="dcterms:W3CDTF">2017-12-21T00:07:00Z</dcterms:created>
  <dcterms:modified xsi:type="dcterms:W3CDTF">2017-12-21T00:07:00Z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