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南京交流会</w:t>
      </w:r>
      <w:r>
        <w:rPr>
          <w:rFonts w:hint="eastAsia"/>
          <w:sz w:val="30"/>
          <w:szCs w:val="30"/>
          <w:lang w:val="en-US" w:eastAsia="zh-CN"/>
        </w:rPr>
        <w:t>纪要</w:t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交流时间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2018.03.26 15:00-17:00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交流地点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江苏省公安厅405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交流主题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涉毒人员预测模型案例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具体内容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向客户讲解扬州涉毒人员预测模型案例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背景：有涉案记录的涉毒人员反侦察意识较强，再次涉毒时会采取间接涉毒的方式，通过没有涉毒记录的同伙辅助运毒贩毒。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根据现有数据设计‘显性涉毒人员同伙预测模型’，并完成DEMO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可以提供的数据目前有铁路出行记录，包括的信息如下：</w:t>
      </w:r>
    </w:p>
    <w:tbl>
      <w:tblPr>
        <w:tblStyle w:val="12"/>
        <w:tblW w:w="4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2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查控地点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列车、候车室、出口、站台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公安机关名称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乘车日期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发车时间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车次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起始站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终点站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车厢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座位号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座位类型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另外可以提供的数据有4万显性涉毒人员的基本信息和其铁路出行历史记录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客户要求考虑如下场景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涉毒人员与同伙不同行的几种场景：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同车不同车厢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同一天但不同车次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同一天不同交通工具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不同天等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讨论数据是否可以支撑需求，讨论结果3.28前反馈给客户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客户数据不足以支撑客户需求：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单纯凭借铁路出行记录、历史记录无法构建满足所有场景的预测模型，尤其是同天不同交通工具的场景。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数据应提供该人是否为同伙的明确信息，以便</w:t>
      </w:r>
      <w:bookmarkStart w:id="0" w:name="_GoBack"/>
      <w:bookmarkEnd w:id="0"/>
      <w:r>
        <w:rPr>
          <w:rFonts w:hint="eastAsia"/>
          <w:lang w:val="en-US" w:eastAsia="zh-CN"/>
        </w:rPr>
        <w:t>明确研究对象，分析其行为和出行规律。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数据特征维度过低，模型精确率无法保证；为提高精确率，应提供更全面的数据，包括通联数据（手机、微信、QQ、其他）、人员基本信息（文化程度、婚姻状况、籍贯、民族）、社会信息（工作情况、社保缴纳记录）、行为信息（住宿记录、出行记录（民航、铁律、客运）、涉警行为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022DA"/>
    <w:multiLevelType w:val="singleLevel"/>
    <w:tmpl w:val="C29022D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C7726809"/>
    <w:multiLevelType w:val="singleLevel"/>
    <w:tmpl w:val="C772680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590360C"/>
    <w:multiLevelType w:val="multilevel"/>
    <w:tmpl w:val="659036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1224D4"/>
    <w:rsid w:val="764130DC"/>
    <w:rsid w:val="7749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left="573" w:hanging="573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zzh</cp:lastModifiedBy>
  <dcterms:modified xsi:type="dcterms:W3CDTF">2018-04-03T03:12:04Z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