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工作场所政策支持对工作压力与父亲家庭教育参与关系的调节效应分析</w:t>
      </w:r>
    </w:p>
    <w:p>
      <w:pPr>
        <w:pStyle w:val="Heading2"/>
      </w:pPr>
      <w:r>
        <w:t>摘要</w:t>
      </w:r>
    </w:p>
    <w:p>
      <w:r>
        <w:rPr>
          <w:b/>
        </w:rPr>
        <w:t>目的：</w:t>
      </w:r>
      <w:r>
        <w:t>检验工作场所政策支持在工作压力与父亲家庭教育参与频率之间的调节效应。</w:t>
      </w:r>
    </w:p>
    <w:p>
      <w:r>
        <w:rPr>
          <w:b/>
        </w:rPr>
        <w:t>方法：</w:t>
      </w:r>
      <w:r>
        <w:t>采用层次回归分析，对575名小学低年级学生父亲的调研数据进行调节效应检验，并通过简单斜率分析、Johnson-Neyman区间和多项稳健性检验深入探究交互效应的本质。</w:t>
      </w:r>
    </w:p>
    <w:p>
      <w:r>
        <w:rPr>
          <w:b/>
        </w:rPr>
        <w:t>结果：</w:t>
      </w:r>
      <w:r>
        <w:t>工作压力与政策支持的交互项显著预测父亲参与频率（B = 0.230, p = 0.003, ΔR² = 0.015）。简单斜率分析显示，在低政策支持水平下，工作压力显著负向影响参与（B = -0.277, p = 0.005）；在中等和高政策支持水平下，工作压力对参与的影响不显著。效应量较小（f² = 0.016）。</w:t>
      </w:r>
    </w:p>
    <w:p>
      <w:r>
        <w:rPr>
          <w:b/>
        </w:rPr>
        <w:t>结论：</w:t>
      </w:r>
      <w:r>
        <w:t>工作场所政策支持起到了缓冲器的作用，假设H4获得支持。</w:t>
      </w:r>
    </w:p>
    <w:p>
      <w:r>
        <w:br w:type="page"/>
      </w:r>
    </w:p>
    <w:p>
      <w:pPr>
        <w:pStyle w:val="Heading2"/>
      </w:pPr>
      <w:r>
        <w:t>一、引言</w:t>
      </w:r>
    </w:p>
    <w:p>
      <w:r>
        <w:t>父亲参与家庭教育对儿童发展具有重要意义。然而，在现代社会中，工作压力常常成为父亲参与家庭教育的重要障碍。工作场所政策支持作为一种重要的外部资源，可能在工作压力与父亲参与之间起到调节作用。根据资源保存理论（Conservation of Resources Theory），个体拥有的资源可以缓冲压力带来的资源损耗。因此，本研究假设：工作场所政策支持调节工作压力与父亲家庭教育参与频率之间的关系（H4）。具体而言，当政策支持水平较高时，工作压力对父亲参与的负面影响会被削弱。</w:t>
      </w:r>
    </w:p>
    <w:p>
      <w:pPr>
        <w:pStyle w:val="Heading2"/>
      </w:pPr>
      <w:r>
        <w:t>二、方法</w:t>
      </w:r>
    </w:p>
    <w:p>
      <w:pPr>
        <w:pStyle w:val="Heading3"/>
      </w:pPr>
      <w:r>
        <w:t>2.1 研究对象</w:t>
      </w:r>
    </w:p>
    <w:p>
      <w:r>
        <w:t>本研究数据来源于中国东部某区小学低年级学生家长调研问卷。采用三阶段PPS抽样方法，共回收有效问卷1788份，其中父亲样本577份。剔除2名"工作压力"选"其他"的被试后，有效分析样本为575人，有效率为99.7%。</w:t>
      </w:r>
    </w:p>
    <w:p>
      <w:pPr>
        <w:pStyle w:val="Heading3"/>
      </w:pPr>
      <w:r>
        <w:t>2.2 研究工具</w:t>
      </w:r>
    </w:p>
    <w:p>
      <w:r>
        <w:rPr>
          <w:b/>
        </w:rPr>
        <w:t>（1）父亲参与频率：</w:t>
      </w:r>
      <w:r>
        <w:t>采用单题项5点Likert量表测量，从"从不"到"经常"分别计1-5分。</w:t>
      </w:r>
    </w:p>
    <w:p>
      <w:r>
        <w:rPr>
          <w:b/>
        </w:rPr>
        <w:t>（2）工作压力：</w:t>
      </w:r>
      <w:r>
        <w:t>采用单题项测量，询问被试工作压力对参与家庭教育的影响程度，从"影响不大"到"压力大导致没有精力参与"分别计1-3分。</w:t>
      </w:r>
    </w:p>
    <w:p>
      <w:r>
        <w:rPr>
          <w:b/>
        </w:rPr>
        <w:t>（3）工作场所政策支持：</w:t>
      </w:r>
      <w:r>
        <w:t>采用多选题测量，包括育儿假、灵活工作时间、教育补贴、心理辅导4项支持政策，选"无任何支持政策"计0分，每选中1项加1分，范围0-4分。</w:t>
      </w:r>
    </w:p>
    <w:p>
      <w:r>
        <w:rPr>
          <w:b/>
        </w:rPr>
        <w:t>（4）控制变量：</w:t>
      </w:r>
      <w:r>
        <w:t>包括年龄、学历、家庭年收入、家中孩子数量。</w:t>
      </w:r>
    </w:p>
    <w:p>
      <w:pPr>
        <w:pStyle w:val="Heading3"/>
      </w:pPr>
      <w:r>
        <w:t>2.3 分析方法</w:t>
      </w:r>
    </w:p>
    <w:p>
      <w:r>
        <w:t>按照Aiken和West（1991）以及Hayes（2018）的标准调节效应分析流程：（1）对自变量和调节变量进行均值中心化；（2）构建交互项；（3）进行层次回归分析，依次纳入控制变量、主效应和交互项；（4）进行简单斜率分析；（5）采用Johnson-Neyman法确定显著性区间；（6）计算效应量；（7）通过Bootstrap法、替代测量等进行稳健性检验。</w:t>
      </w:r>
    </w:p>
    <w:p>
      <w:pPr>
        <w:pStyle w:val="Heading2"/>
      </w:pPr>
      <w:r>
        <w:t>三、结果</w:t>
      </w:r>
    </w:p>
    <w:p>
      <w:pPr>
        <w:pStyle w:val="Heading3"/>
      </w:pPr>
      <w:r>
        <w:t>3.1 描述统计与相关分析</w:t>
      </w:r>
    </w:p>
    <w:p>
      <w:r>
        <w:t>各变量的均值、标准差和相关系数见表1。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变量</w:t>
            </w:r>
          </w:p>
        </w:tc>
        <w:tc>
          <w:tcPr>
            <w:tcW w:type="dxa" w:w="1234"/>
          </w:tcPr>
          <w:p>
            <w:r>
              <w:rPr>
                <w:b/>
                <w:sz w:val="20"/>
              </w:rPr>
              <w:t>M</w:t>
            </w:r>
          </w:p>
        </w:tc>
        <w:tc>
          <w:tcPr>
            <w:tcW w:type="dxa" w:w="1234"/>
          </w:tcPr>
          <w:p>
            <w:r>
              <w:rPr>
                <w:b/>
                <w:sz w:val="20"/>
              </w:rPr>
              <w:t>SD</w:t>
            </w:r>
          </w:p>
        </w:tc>
        <w:tc>
          <w:tcPr>
            <w:tcW w:type="dxa" w:w="1234"/>
          </w:tcPr>
          <w:p>
            <w:r>
              <w:rPr>
                <w:b/>
                <w:sz w:val="20"/>
              </w:rPr>
              <w:t>1</w:t>
            </w:r>
          </w:p>
        </w:tc>
        <w:tc>
          <w:tcPr>
            <w:tcW w:type="dxa" w:w="1234"/>
          </w:tcPr>
          <w:p>
            <w:r>
              <w:rPr>
                <w:b/>
                <w:sz w:val="20"/>
              </w:rPr>
              <w:t>2</w:t>
            </w:r>
          </w:p>
        </w:tc>
        <w:tc>
          <w:tcPr>
            <w:tcW w:type="dxa" w:w="1234"/>
          </w:tcPr>
          <w:p>
            <w:r>
              <w:rPr>
                <w:b/>
                <w:sz w:val="20"/>
              </w:rPr>
              <w:t>3</w:t>
            </w:r>
          </w:p>
        </w:tc>
        <w:tc>
          <w:tcPr>
            <w:tcW w:type="dxa" w:w="1234"/>
          </w:tcPr>
          <w:p>
            <w:r>
              <w:rPr>
                <w:b/>
                <w:sz w:val="20"/>
              </w:rPr>
              <w:t>4</w:t>
            </w:r>
          </w:p>
        </w:tc>
      </w:tr>
      <w:tr>
        <w:tc>
          <w:tcPr>
            <w:tcW w:type="dxa" w:w="1234"/>
          </w:tcPr>
          <w:p>
            <w:r>
              <w:rPr>
                <w:sz w:val="20"/>
              </w:rPr>
              <w:t>1. 参与频率</w:t>
            </w:r>
          </w:p>
        </w:tc>
        <w:tc>
          <w:tcPr>
            <w:tcW w:type="dxa" w:w="1234"/>
          </w:tcPr>
          <w:p>
            <w:r>
              <w:rPr>
                <w:sz w:val="20"/>
              </w:rPr>
              <w:t>3.643</w:t>
            </w:r>
          </w:p>
        </w:tc>
        <w:tc>
          <w:tcPr>
            <w:tcW w:type="dxa" w:w="1234"/>
          </w:tcPr>
          <w:p>
            <w:r>
              <w:rPr>
                <w:sz w:val="20"/>
              </w:rPr>
              <w:t>1.155</w:t>
            </w:r>
          </w:p>
        </w:tc>
        <w:tc>
          <w:tcPr>
            <w:tcW w:type="dxa" w:w="1234"/>
          </w:tcPr>
          <w:p>
            <w:r>
              <w:rPr>
                <w:sz w:val="20"/>
              </w:rPr>
              <w:t>1</w:t>
            </w:r>
          </w:p>
        </w:tc>
        <w:tc>
          <w:tcPr>
            <w:tcW w:type="dxa" w:w="1234"/>
          </w:tcPr>
          <w:p>
            <w:r>
              <w:rPr>
                <w:sz w:val="20"/>
              </w:rPr>
            </w:r>
          </w:p>
        </w:tc>
        <w:tc>
          <w:tcPr>
            <w:tcW w:type="dxa" w:w="1234"/>
          </w:tcPr>
          <w:p>
            <w:r>
              <w:rPr>
                <w:sz w:val="20"/>
              </w:rPr>
            </w:r>
          </w:p>
        </w:tc>
        <w:tc>
          <w:tcPr>
            <w:tcW w:type="dxa" w:w="1234"/>
          </w:tcPr>
          <w:p>
            <w:r>
              <w:rPr>
                <w:sz w:val="20"/>
              </w:rPr>
            </w:r>
          </w:p>
        </w:tc>
      </w:tr>
      <w:tr>
        <w:tc>
          <w:tcPr>
            <w:tcW w:type="dxa" w:w="1234"/>
          </w:tcPr>
          <w:p>
            <w:r>
              <w:rPr>
                <w:sz w:val="20"/>
              </w:rPr>
              <w:t>2. 工作压力</w:t>
            </w:r>
          </w:p>
        </w:tc>
        <w:tc>
          <w:tcPr>
            <w:tcW w:type="dxa" w:w="1234"/>
          </w:tcPr>
          <w:p>
            <w:r>
              <w:rPr>
                <w:sz w:val="20"/>
              </w:rPr>
              <w:t>1.870</w:t>
            </w:r>
          </w:p>
        </w:tc>
        <w:tc>
          <w:tcPr>
            <w:tcW w:type="dxa" w:w="1234"/>
          </w:tcPr>
          <w:p>
            <w:r>
              <w:rPr>
                <w:sz w:val="20"/>
              </w:rPr>
              <w:t>0.675</w:t>
            </w:r>
          </w:p>
        </w:tc>
        <w:tc>
          <w:tcPr>
            <w:tcW w:type="dxa" w:w="1234"/>
          </w:tcPr>
          <w:p>
            <w:r>
              <w:rPr>
                <w:sz w:val="20"/>
              </w:rPr>
              <w:t>-0.064</w:t>
            </w:r>
          </w:p>
        </w:tc>
        <w:tc>
          <w:tcPr>
            <w:tcW w:type="dxa" w:w="1234"/>
          </w:tcPr>
          <w:p>
            <w:r>
              <w:rPr>
                <w:sz w:val="20"/>
              </w:rPr>
              <w:t>1</w:t>
            </w:r>
          </w:p>
        </w:tc>
        <w:tc>
          <w:tcPr>
            <w:tcW w:type="dxa" w:w="1234"/>
          </w:tcPr>
          <w:p>
            <w:r>
              <w:rPr>
                <w:sz w:val="20"/>
              </w:rPr>
            </w:r>
          </w:p>
        </w:tc>
        <w:tc>
          <w:tcPr>
            <w:tcW w:type="dxa" w:w="1234"/>
          </w:tcPr>
          <w:p>
            <w:r>
              <w:rPr>
                <w:sz w:val="20"/>
              </w:rPr>
            </w:r>
          </w:p>
        </w:tc>
      </w:tr>
      <w:tr>
        <w:tc>
          <w:tcPr>
            <w:tcW w:type="dxa" w:w="1234"/>
          </w:tcPr>
          <w:p>
            <w:r>
              <w:rPr>
                <w:sz w:val="20"/>
              </w:rPr>
              <w:t>3. 政策支持</w:t>
            </w:r>
          </w:p>
        </w:tc>
        <w:tc>
          <w:tcPr>
            <w:tcW w:type="dxa" w:w="1234"/>
          </w:tcPr>
          <w:p>
            <w:r>
              <w:rPr>
                <w:sz w:val="20"/>
              </w:rPr>
              <w:t>0.903</w:t>
            </w:r>
          </w:p>
        </w:tc>
        <w:tc>
          <w:tcPr>
            <w:tcW w:type="dxa" w:w="1234"/>
          </w:tcPr>
          <w:p>
            <w:r>
              <w:rPr>
                <w:sz w:val="20"/>
              </w:rPr>
              <w:t>0.909</w:t>
            </w:r>
          </w:p>
        </w:tc>
        <w:tc>
          <w:tcPr>
            <w:tcW w:type="dxa" w:w="1234"/>
          </w:tcPr>
          <w:p>
            <w:r>
              <w:rPr>
                <w:sz w:val="20"/>
              </w:rPr>
              <w:t>0.141***</w:t>
            </w:r>
          </w:p>
        </w:tc>
        <w:tc>
          <w:tcPr>
            <w:tcW w:type="dxa" w:w="1234"/>
          </w:tcPr>
          <w:p>
            <w:r>
              <w:rPr>
                <w:sz w:val="20"/>
              </w:rPr>
              <w:t>-0.123**</w:t>
            </w:r>
          </w:p>
        </w:tc>
        <w:tc>
          <w:tcPr>
            <w:tcW w:type="dxa" w:w="1234"/>
          </w:tcPr>
          <w:p>
            <w:r>
              <w:rPr>
                <w:sz w:val="20"/>
              </w:rPr>
              <w:t>1</w:t>
            </w:r>
          </w:p>
        </w:tc>
        <w:tc>
          <w:tcPr>
            <w:tcW w:type="dxa" w:w="1234"/>
          </w:tcPr>
          <w:p>
            <w:r>
              <w:rPr>
                <w:sz w:val="20"/>
              </w:rPr>
            </w:r>
          </w:p>
        </w:tc>
      </w:tr>
      <w:tr>
        <w:tc>
          <w:tcPr>
            <w:tcW w:type="dxa" w:w="1234"/>
          </w:tcPr>
          <w:p>
            <w:r>
              <w:rPr>
                <w:sz w:val="20"/>
              </w:rPr>
              <w:t>4. 年龄</w:t>
            </w:r>
          </w:p>
        </w:tc>
        <w:tc>
          <w:tcPr>
            <w:tcW w:type="dxa" w:w="1234"/>
          </w:tcPr>
          <w:p>
            <w:r>
              <w:rPr>
                <w:sz w:val="20"/>
              </w:rPr>
              <w:t>2.332</w:t>
            </w:r>
          </w:p>
        </w:tc>
        <w:tc>
          <w:tcPr>
            <w:tcW w:type="dxa" w:w="1234"/>
          </w:tcPr>
          <w:p>
            <w:r>
              <w:rPr>
                <w:sz w:val="20"/>
              </w:rPr>
              <w:t>0.642</w:t>
            </w:r>
          </w:p>
        </w:tc>
        <w:tc>
          <w:tcPr>
            <w:tcW w:type="dxa" w:w="1234"/>
          </w:tcPr>
          <w:p>
            <w:r>
              <w:rPr>
                <w:sz w:val="20"/>
              </w:rPr>
              <w:t>-0.033</w:t>
            </w:r>
          </w:p>
        </w:tc>
        <w:tc>
          <w:tcPr>
            <w:tcW w:type="dxa" w:w="1234"/>
          </w:tcPr>
          <w:p>
            <w:r>
              <w:rPr>
                <w:sz w:val="20"/>
              </w:rPr>
              <w:t>-0.053</w:t>
            </w:r>
          </w:p>
        </w:tc>
        <w:tc>
          <w:tcPr>
            <w:tcW w:type="dxa" w:w="1234"/>
          </w:tcPr>
          <w:p>
            <w:r>
              <w:rPr>
                <w:sz w:val="20"/>
              </w:rPr>
              <w:t>-0.081</w:t>
            </w:r>
          </w:p>
        </w:tc>
        <w:tc>
          <w:tcPr>
            <w:tcW w:type="dxa" w:w="1234"/>
          </w:tcPr>
          <w:p>
            <w:r>
              <w:rPr>
                <w:sz w:val="20"/>
              </w:rPr>
              <w:t>1</w:t>
            </w:r>
          </w:p>
        </w:tc>
      </w:tr>
      <w:tr>
        <w:tc>
          <w:tcPr>
            <w:tcW w:type="dxa" w:w="1234"/>
          </w:tcPr>
          <w:p>
            <w:r>
              <w:rPr>
                <w:sz w:val="20"/>
              </w:rPr>
              <w:t>5. 学历</w:t>
            </w:r>
          </w:p>
        </w:tc>
        <w:tc>
          <w:tcPr>
            <w:tcW w:type="dxa" w:w="1234"/>
          </w:tcPr>
          <w:p>
            <w:r>
              <w:rPr>
                <w:sz w:val="20"/>
              </w:rPr>
              <w:t>2.993</w:t>
            </w:r>
          </w:p>
        </w:tc>
        <w:tc>
          <w:tcPr>
            <w:tcW w:type="dxa" w:w="1234"/>
          </w:tcPr>
          <w:p>
            <w:r>
              <w:rPr>
                <w:sz w:val="20"/>
              </w:rPr>
              <w:t>1.177</w:t>
            </w:r>
          </w:p>
        </w:tc>
        <w:tc>
          <w:tcPr>
            <w:tcW w:type="dxa" w:w="1234"/>
          </w:tcPr>
          <w:p>
            <w:r>
              <w:rPr>
                <w:sz w:val="20"/>
              </w:rPr>
              <w:t>0.113**</w:t>
            </w:r>
          </w:p>
        </w:tc>
        <w:tc>
          <w:tcPr>
            <w:tcW w:type="dxa" w:w="1234"/>
          </w:tcPr>
          <w:p>
            <w:r>
              <w:rPr>
                <w:sz w:val="20"/>
              </w:rPr>
              <w:t>-0.123**</w:t>
            </w:r>
          </w:p>
        </w:tc>
        <w:tc>
          <w:tcPr>
            <w:tcW w:type="dxa" w:w="1234"/>
          </w:tcPr>
          <w:p>
            <w:r>
              <w:rPr>
                <w:sz w:val="20"/>
              </w:rPr>
              <w:t>0.169***</w:t>
            </w:r>
          </w:p>
        </w:tc>
        <w:tc>
          <w:tcPr>
            <w:tcW w:type="dxa" w:w="1234"/>
          </w:tcPr>
          <w:p>
            <w:r>
              <w:rPr>
                <w:sz w:val="20"/>
              </w:rPr>
              <w:t>-0.124**</w:t>
            </w:r>
          </w:p>
        </w:tc>
      </w:tr>
      <w:tr>
        <w:tc>
          <w:tcPr>
            <w:tcW w:type="dxa" w:w="1234"/>
          </w:tcPr>
          <w:p>
            <w:r>
              <w:rPr>
                <w:sz w:val="20"/>
              </w:rPr>
              <w:t>6. 家庭收入</w:t>
            </w:r>
          </w:p>
        </w:tc>
        <w:tc>
          <w:tcPr>
            <w:tcW w:type="dxa" w:w="1234"/>
          </w:tcPr>
          <w:p>
            <w:r>
              <w:rPr>
                <w:sz w:val="20"/>
              </w:rPr>
              <w:t>1.990</w:t>
            </w:r>
          </w:p>
        </w:tc>
        <w:tc>
          <w:tcPr>
            <w:tcW w:type="dxa" w:w="1234"/>
          </w:tcPr>
          <w:p>
            <w:r>
              <w:rPr>
                <w:sz w:val="20"/>
              </w:rPr>
              <w:t>0.970</w:t>
            </w:r>
          </w:p>
        </w:tc>
        <w:tc>
          <w:tcPr>
            <w:tcW w:type="dxa" w:w="1234"/>
          </w:tcPr>
          <w:p>
            <w:r>
              <w:rPr>
                <w:sz w:val="20"/>
              </w:rPr>
              <w:t>0.047</w:t>
            </w:r>
          </w:p>
        </w:tc>
        <w:tc>
          <w:tcPr>
            <w:tcW w:type="dxa" w:w="1234"/>
          </w:tcPr>
          <w:p>
            <w:r>
              <w:rPr>
                <w:sz w:val="20"/>
              </w:rPr>
              <w:t>-0.168***</w:t>
            </w:r>
          </w:p>
        </w:tc>
        <w:tc>
          <w:tcPr>
            <w:tcW w:type="dxa" w:w="1234"/>
          </w:tcPr>
          <w:p>
            <w:r>
              <w:rPr>
                <w:sz w:val="20"/>
              </w:rPr>
              <w:t>0.117**</w:t>
            </w:r>
          </w:p>
        </w:tc>
        <w:tc>
          <w:tcPr>
            <w:tcW w:type="dxa" w:w="1234"/>
          </w:tcPr>
          <w:p>
            <w:r>
              <w:rPr>
                <w:sz w:val="20"/>
              </w:rPr>
              <w:t>-0.143***</w:t>
            </w:r>
          </w:p>
        </w:tc>
      </w:tr>
    </w:tbl>
    <w:p>
      <w:r>
        <w:rPr>
          <w:i/>
          <w:sz w:val="20"/>
        </w:rPr>
        <w:t>注：* p &lt; 0.05, ** p &lt; 0.01, *** p &lt; 0.001</w:t>
      </w:r>
    </w:p>
    <w:p>
      <w:r>
        <w:t>结果显示，工作压力与参与频率的零阶相关不显著（r = -0.064, p &gt; 0.05）；政策支持与参与频率显著正相关（r = 0.141, p &lt; 0.001）；工作压力与政策支持显著负相关（r = -0.123, p &lt; 0.01）。</w:t>
      </w:r>
    </w:p>
    <w:p>
      <w:pPr>
        <w:pStyle w:val="Heading3"/>
      </w:pPr>
      <w:r>
        <w:t>3.2 层次回归分析</w:t>
      </w:r>
    </w:p>
    <w:p>
      <w:r>
        <w:t>层次回归分析结果见表2。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变量</w:t>
            </w:r>
          </w:p>
        </w:tc>
        <w:tc>
          <w:tcPr>
            <w:tcW w:type="dxa" w:w="2160"/>
          </w:tcPr>
          <w:p>
            <w:r>
              <w:rPr>
                <w:b/>
                <w:sz w:val="18"/>
              </w:rPr>
              <w:t>模型1</w:t>
            </w:r>
          </w:p>
        </w:tc>
        <w:tc>
          <w:tcPr>
            <w:tcW w:type="dxa" w:w="2160"/>
          </w:tcPr>
          <w:p>
            <w:r>
              <w:rPr>
                <w:b/>
                <w:sz w:val="18"/>
              </w:rPr>
              <w:t>模型2</w:t>
            </w:r>
          </w:p>
        </w:tc>
        <w:tc>
          <w:tcPr>
            <w:tcW w:type="dxa" w:w="2160"/>
          </w:tcPr>
          <w:p>
            <w:r>
              <w:rPr>
                <w:b/>
                <w:sz w:val="18"/>
              </w:rPr>
              <w:t>模型3</w:t>
            </w:r>
          </w:p>
        </w:tc>
      </w:tr>
      <w:tr>
        <w:tc>
          <w:tcPr>
            <w:tcW w:type="dxa" w:w="2160"/>
          </w:tcPr>
          <w:p>
            <w:r>
              <w:rPr>
                <w:sz w:val="18"/>
              </w:rPr>
              <w:t>截距</w:t>
            </w:r>
          </w:p>
        </w:tc>
        <w:tc>
          <w:tcPr>
            <w:tcW w:type="dxa" w:w="2160"/>
          </w:tcPr>
          <w:p>
            <w:r>
              <w:rPr>
                <w:sz w:val="18"/>
              </w:rPr>
              <w:t>3.220***</w:t>
              <w:br/>
              <w:t>(0.328)</w:t>
            </w:r>
          </w:p>
        </w:tc>
        <w:tc>
          <w:tcPr>
            <w:tcW w:type="dxa" w:w="2160"/>
          </w:tcPr>
          <w:p>
            <w:r>
              <w:rPr>
                <w:sz w:val="18"/>
              </w:rPr>
              <w:t>3.283***</w:t>
              <w:br/>
              <w:t>(0.327)</w:t>
            </w:r>
          </w:p>
        </w:tc>
        <w:tc>
          <w:tcPr>
            <w:tcW w:type="dxa" w:w="2160"/>
          </w:tcPr>
          <w:p>
            <w:r>
              <w:rPr>
                <w:sz w:val="18"/>
              </w:rPr>
              <w:t>3.292***</w:t>
              <w:br/>
              <w:t>(0.325)</w:t>
            </w:r>
          </w:p>
        </w:tc>
      </w:tr>
      <w:tr>
        <w:tc>
          <w:tcPr>
            <w:tcW w:type="dxa" w:w="2160"/>
          </w:tcPr>
          <w:p>
            <w:r>
              <w:rPr>
                <w:sz w:val="18"/>
              </w:rPr>
              <w:t>年龄</w:t>
            </w:r>
          </w:p>
        </w:tc>
        <w:tc>
          <w:tcPr>
            <w:tcW w:type="dxa" w:w="2160"/>
          </w:tcPr>
          <w:p>
            <w:r>
              <w:rPr>
                <w:sz w:val="18"/>
              </w:rPr>
              <w:t>-0.050</w:t>
              <w:br/>
              <w:t>(0.089)</w:t>
            </w:r>
          </w:p>
        </w:tc>
        <w:tc>
          <w:tcPr>
            <w:tcW w:type="dxa" w:w="2160"/>
          </w:tcPr>
          <w:p>
            <w:r>
              <w:rPr>
                <w:sz w:val="18"/>
              </w:rPr>
              <w:t>-0.045</w:t>
              <w:br/>
              <w:t>(0.089)</w:t>
            </w:r>
          </w:p>
        </w:tc>
        <w:tc>
          <w:tcPr>
            <w:tcW w:type="dxa" w:w="2160"/>
          </w:tcPr>
          <w:p>
            <w:r>
              <w:rPr>
                <w:sz w:val="18"/>
              </w:rPr>
              <w:t>-0.042</w:t>
              <w:br/>
              <w:t>(0.088)</w:t>
            </w:r>
          </w:p>
        </w:tc>
      </w:tr>
      <w:tr>
        <w:tc>
          <w:tcPr>
            <w:tcW w:type="dxa" w:w="2160"/>
          </w:tcPr>
          <w:p>
            <w:r>
              <w:rPr>
                <w:sz w:val="18"/>
              </w:rPr>
              <w:t>学历</w:t>
            </w:r>
          </w:p>
        </w:tc>
        <w:tc>
          <w:tcPr>
            <w:tcW w:type="dxa" w:w="2160"/>
          </w:tcPr>
          <w:p>
            <w:r>
              <w:rPr>
                <w:sz w:val="18"/>
              </w:rPr>
              <w:t>0.124**</w:t>
              <w:br/>
              <w:t>(0.048)</w:t>
            </w:r>
          </w:p>
        </w:tc>
        <w:tc>
          <w:tcPr>
            <w:tcW w:type="dxa" w:w="2160"/>
          </w:tcPr>
          <w:p>
            <w:r>
              <w:rPr>
                <w:sz w:val="18"/>
              </w:rPr>
              <w:t>0.103*</w:t>
              <w:br/>
              <w:t>(0.048)</w:t>
            </w:r>
          </w:p>
        </w:tc>
        <w:tc>
          <w:tcPr>
            <w:tcW w:type="dxa" w:w="2160"/>
          </w:tcPr>
          <w:p>
            <w:r>
              <w:rPr>
                <w:sz w:val="18"/>
              </w:rPr>
              <w:t>0.109*</w:t>
              <w:br/>
              <w:t>(0.048)</w:t>
            </w:r>
          </w:p>
        </w:tc>
      </w:tr>
      <w:tr>
        <w:tc>
          <w:tcPr>
            <w:tcW w:type="dxa" w:w="2160"/>
          </w:tcPr>
          <w:p>
            <w:r>
              <w:rPr>
                <w:sz w:val="18"/>
              </w:rPr>
              <w:t>家庭收入</w:t>
            </w:r>
          </w:p>
        </w:tc>
        <w:tc>
          <w:tcPr>
            <w:tcW w:type="dxa" w:w="2160"/>
          </w:tcPr>
          <w:p>
            <w:r>
              <w:rPr>
                <w:sz w:val="18"/>
              </w:rPr>
              <w:t>0.002</w:t>
              <w:br/>
              <w:t>(0.052)</w:t>
            </w:r>
          </w:p>
        </w:tc>
        <w:tc>
          <w:tcPr>
            <w:tcW w:type="dxa" w:w="2160"/>
          </w:tcPr>
          <w:p>
            <w:r>
              <w:rPr>
                <w:sz w:val="18"/>
              </w:rPr>
              <w:t>-0.014</w:t>
              <w:br/>
              <w:t>(0.053)</w:t>
            </w:r>
          </w:p>
        </w:tc>
        <w:tc>
          <w:tcPr>
            <w:tcW w:type="dxa" w:w="2160"/>
          </w:tcPr>
          <w:p>
            <w:r>
              <w:rPr>
                <w:sz w:val="18"/>
              </w:rPr>
              <w:t>-0.008</w:t>
              <w:br/>
              <w:t>(0.052)</w:t>
            </w:r>
          </w:p>
        </w:tc>
      </w:tr>
      <w:tr>
        <w:tc>
          <w:tcPr>
            <w:tcW w:type="dxa" w:w="2160"/>
          </w:tcPr>
          <w:p>
            <w:r>
              <w:rPr>
                <w:sz w:val="18"/>
              </w:rPr>
              <w:t>孩子数量</w:t>
            </w:r>
          </w:p>
        </w:tc>
        <w:tc>
          <w:tcPr>
            <w:tcW w:type="dxa" w:w="2160"/>
          </w:tcPr>
          <w:p>
            <w:r>
              <w:rPr>
                <w:sz w:val="18"/>
              </w:rPr>
              <w:t>0.092</w:t>
              <w:br/>
              <w:t>(0.096)</w:t>
            </w:r>
          </w:p>
        </w:tc>
        <w:tc>
          <w:tcPr>
            <w:tcW w:type="dxa" w:w="2160"/>
          </w:tcPr>
          <w:p>
            <w:r>
              <w:rPr>
                <w:sz w:val="18"/>
              </w:rPr>
              <w:t>0.102</w:t>
              <w:br/>
              <w:t>(0.096)</w:t>
            </w:r>
          </w:p>
        </w:tc>
        <w:tc>
          <w:tcPr>
            <w:tcW w:type="dxa" w:w="2160"/>
          </w:tcPr>
          <w:p>
            <w:r>
              <w:rPr>
                <w:sz w:val="18"/>
              </w:rPr>
              <w:t>0.087</w:t>
              <w:br/>
              <w:t>(0.096)</w:t>
            </w:r>
          </w:p>
        </w:tc>
      </w:tr>
      <w:tr>
        <w:tc>
          <w:tcPr>
            <w:tcW w:type="dxa" w:w="2160"/>
          </w:tcPr>
          <w:p>
            <w:r>
              <w:rPr>
                <w:sz w:val="18"/>
              </w:rPr>
              <w:t>工作压力(X)</w:t>
            </w:r>
          </w:p>
        </w:tc>
        <w:tc>
          <w:tcPr>
            <w:tcW w:type="dxa" w:w="2160"/>
          </w:tcPr>
          <w:p>
            <w:r>
              <w:rPr>
                <w:sz w:val="18"/>
              </w:rPr>
            </w:r>
          </w:p>
        </w:tc>
        <w:tc>
          <w:tcPr>
            <w:tcW w:type="dxa" w:w="2160"/>
          </w:tcPr>
          <w:p>
            <w:r>
              <w:rPr>
                <w:sz w:val="18"/>
              </w:rPr>
              <w:t>-0.078</w:t>
              <w:br/>
              <w:t>(0.073)</w:t>
            </w:r>
          </w:p>
        </w:tc>
        <w:tc>
          <w:tcPr>
            <w:tcW w:type="dxa" w:w="2160"/>
          </w:tcPr>
          <w:p>
            <w:r>
              <w:rPr>
                <w:sz w:val="18"/>
              </w:rPr>
              <w:t>-0.067</w:t>
              <w:br/>
              <w:t>(0.073)</w:t>
            </w:r>
          </w:p>
        </w:tc>
      </w:tr>
      <w:tr>
        <w:tc>
          <w:tcPr>
            <w:tcW w:type="dxa" w:w="2160"/>
          </w:tcPr>
          <w:p>
            <w:r>
              <w:rPr>
                <w:sz w:val="18"/>
              </w:rPr>
              <w:t>政策支持(W)</w:t>
            </w:r>
          </w:p>
        </w:tc>
        <w:tc>
          <w:tcPr>
            <w:tcW w:type="dxa" w:w="2160"/>
          </w:tcPr>
          <w:p>
            <w:r>
              <w:rPr>
                <w:sz w:val="18"/>
              </w:rPr>
            </w:r>
          </w:p>
        </w:tc>
        <w:tc>
          <w:tcPr>
            <w:tcW w:type="dxa" w:w="2160"/>
          </w:tcPr>
          <w:p>
            <w:r>
              <w:rPr>
                <w:sz w:val="18"/>
              </w:rPr>
              <w:t>0.153**</w:t>
              <w:br/>
              <w:t>(0.054)</w:t>
            </w:r>
          </w:p>
        </w:tc>
        <w:tc>
          <w:tcPr>
            <w:tcW w:type="dxa" w:w="2160"/>
          </w:tcPr>
          <w:p>
            <w:r>
              <w:rPr>
                <w:sz w:val="18"/>
              </w:rPr>
              <w:t>0.168***</w:t>
              <w:br/>
              <w:t>(0.054)</w:t>
            </w:r>
          </w:p>
        </w:tc>
      </w:tr>
      <w:tr>
        <w:tc>
          <w:tcPr>
            <w:tcW w:type="dxa" w:w="2160"/>
          </w:tcPr>
          <w:p>
            <w:r>
              <w:rPr>
                <w:sz w:val="18"/>
              </w:rPr>
              <w:t>X × W 交互项</w:t>
            </w:r>
          </w:p>
        </w:tc>
        <w:tc>
          <w:tcPr>
            <w:tcW w:type="dxa" w:w="2160"/>
          </w:tcPr>
          <w:p>
            <w:r>
              <w:rPr>
                <w:sz w:val="18"/>
              </w:rPr>
            </w:r>
          </w:p>
        </w:tc>
        <w:tc>
          <w:tcPr>
            <w:tcW w:type="dxa" w:w="2160"/>
          </w:tcPr>
          <w:p>
            <w:r>
              <w:rPr>
                <w:sz w:val="18"/>
              </w:rPr>
            </w:r>
          </w:p>
        </w:tc>
        <w:tc>
          <w:tcPr>
            <w:tcW w:type="dxa" w:w="2160"/>
          </w:tcPr>
          <w:p>
            <w:r>
              <w:rPr>
                <w:sz w:val="18"/>
              </w:rPr>
              <w:t>0.230**</w:t>
              <w:br/>
              <w:t>(0.077)</w:t>
            </w:r>
          </w:p>
        </w:tc>
      </w:tr>
      <w:tr>
        <w:tc>
          <w:tcPr>
            <w:tcW w:type="dxa" w:w="2160"/>
          </w:tcPr>
          <w:p>
            <w:r>
              <w:rPr>
                <w:sz w:val="18"/>
              </w:rPr>
              <w:t>R²</w:t>
            </w:r>
          </w:p>
        </w:tc>
        <w:tc>
          <w:tcPr>
            <w:tcW w:type="dxa" w:w="2160"/>
          </w:tcPr>
          <w:p>
            <w:r>
              <w:rPr>
                <w:sz w:val="18"/>
              </w:rPr>
              <w:t>0.015</w:t>
            </w:r>
          </w:p>
        </w:tc>
        <w:tc>
          <w:tcPr>
            <w:tcW w:type="dxa" w:w="2160"/>
          </w:tcPr>
          <w:p>
            <w:r>
              <w:rPr>
                <w:sz w:val="18"/>
              </w:rPr>
              <w:t>0.032</w:t>
            </w:r>
          </w:p>
        </w:tc>
        <w:tc>
          <w:tcPr>
            <w:tcW w:type="dxa" w:w="2160"/>
          </w:tcPr>
          <w:p>
            <w:r>
              <w:rPr>
                <w:sz w:val="18"/>
              </w:rPr>
              <w:t>0.047</w:t>
            </w:r>
          </w:p>
        </w:tc>
      </w:tr>
      <w:tr>
        <w:tc>
          <w:tcPr>
            <w:tcW w:type="dxa" w:w="2160"/>
          </w:tcPr>
          <w:p>
            <w:r>
              <w:rPr>
                <w:sz w:val="18"/>
              </w:rPr>
              <w:t>调整R²</w:t>
            </w:r>
          </w:p>
        </w:tc>
        <w:tc>
          <w:tcPr>
            <w:tcW w:type="dxa" w:w="2160"/>
          </w:tcPr>
          <w:p>
            <w:r>
              <w:rPr>
                <w:sz w:val="18"/>
              </w:rPr>
              <w:t>0.008</w:t>
            </w:r>
          </w:p>
        </w:tc>
        <w:tc>
          <w:tcPr>
            <w:tcW w:type="dxa" w:w="2160"/>
          </w:tcPr>
          <w:p>
            <w:r>
              <w:rPr>
                <w:sz w:val="18"/>
              </w:rPr>
              <w:t>0.022</w:t>
            </w:r>
          </w:p>
        </w:tc>
        <w:tc>
          <w:tcPr>
            <w:tcW w:type="dxa" w:w="2160"/>
          </w:tcPr>
          <w:p>
            <w:r>
              <w:rPr>
                <w:sz w:val="18"/>
              </w:rPr>
              <w:t>0.035</w:t>
            </w:r>
          </w:p>
        </w:tc>
      </w:tr>
      <w:tr>
        <w:tc>
          <w:tcPr>
            <w:tcW w:type="dxa" w:w="2160"/>
          </w:tcPr>
          <w:p>
            <w:r>
              <w:rPr>
                <w:sz w:val="18"/>
              </w:rPr>
              <w:t>F</w:t>
            </w:r>
          </w:p>
        </w:tc>
        <w:tc>
          <w:tcPr>
            <w:tcW w:type="dxa" w:w="2160"/>
          </w:tcPr>
          <w:p>
            <w:r>
              <w:rPr>
                <w:sz w:val="18"/>
              </w:rPr>
              <w:t>2.125</w:t>
            </w:r>
          </w:p>
        </w:tc>
        <w:tc>
          <w:tcPr>
            <w:tcW w:type="dxa" w:w="2160"/>
          </w:tcPr>
          <w:p>
            <w:r>
              <w:rPr>
                <w:sz w:val="18"/>
              </w:rPr>
              <w:t>3.098**</w:t>
            </w:r>
          </w:p>
        </w:tc>
        <w:tc>
          <w:tcPr>
            <w:tcW w:type="dxa" w:w="2160"/>
          </w:tcPr>
          <w:p>
            <w:r>
              <w:rPr>
                <w:sz w:val="18"/>
              </w:rPr>
              <w:t>3.976***</w:t>
            </w:r>
          </w:p>
        </w:tc>
      </w:tr>
      <w:tr>
        <w:tc>
          <w:tcPr>
            <w:tcW w:type="dxa" w:w="2160"/>
          </w:tcPr>
          <w:p>
            <w:r>
              <w:rPr>
                <w:sz w:val="18"/>
              </w:rPr>
              <w:t>ΔR²</w:t>
            </w:r>
          </w:p>
        </w:tc>
        <w:tc>
          <w:tcPr>
            <w:tcW w:type="dxa" w:w="2160"/>
          </w:tcPr>
          <w:p>
            <w:r>
              <w:rPr>
                <w:sz w:val="18"/>
              </w:rPr>
            </w:r>
          </w:p>
        </w:tc>
        <w:tc>
          <w:tcPr>
            <w:tcW w:type="dxa" w:w="2160"/>
          </w:tcPr>
          <w:p>
            <w:r>
              <w:rPr>
                <w:sz w:val="18"/>
              </w:rPr>
              <w:t>0.017**</w:t>
            </w:r>
          </w:p>
        </w:tc>
        <w:tc>
          <w:tcPr>
            <w:tcW w:type="dxa" w:w="2160"/>
          </w:tcPr>
          <w:p>
            <w:r>
              <w:rPr>
                <w:sz w:val="18"/>
              </w:rPr>
              <w:t>0.015**</w:t>
            </w:r>
          </w:p>
        </w:tc>
      </w:tr>
    </w:tbl>
    <w:p>
      <w:r>
        <w:rPr>
          <w:i/>
          <w:sz w:val="20"/>
        </w:rPr>
        <w:t>注：* p &lt; 0.05, ** p &lt; 0.01, *** p &lt; 0.001；括号内为标准误</w:t>
      </w:r>
    </w:p>
    <w:p>
      <w:r>
        <w:t>结果显示，整体模型显著，R² = 0.047，F(7, 567) = 3.976，p &lt; 0.001。工作压力与工作场所政策支持的交互项对父亲参与频率具有显著预测作用，B = 0.230，SE = 0.077，β = 0.124，t(567) = 2.997，p = 0.003，95% CI = [0.080, 0.381]，ΔR² = 0.015，F(1, 567) = 8.983，p = 0.003。方差膨胀因子（VIF）均低于1.25，表明不存在多重共线性问题。假设H4得到支持。</w:t>
      </w:r>
    </w:p>
    <w:p>
      <w:pPr>
        <w:pStyle w:val="Heading3"/>
      </w:pPr>
      <w:r>
        <w:t>3.3 简单斜率分析</w:t>
      </w:r>
    </w:p>
    <w:p>
      <w:r>
        <w:t>为进一步解释交互效应的本质，本研究进行了简单斜率分析，分别在政策支持的-1个标准差（低支持）、均值（中等支持）和+1个标准差（高支持）水平上检验工作压力对参与频率的效应。</w:t>
      </w:r>
    </w:p>
    <w:p/>
    <w:p>
      <w:pPr>
        <w:jc w:val="center"/>
      </w:pPr>
      <w:r>
        <w:drawing>
          <wp:inline xmlns:a="http://schemas.openxmlformats.org/drawingml/2006/main" xmlns:pic="http://schemas.openxmlformats.org/drawingml/2006/picture">
            <wp:extent cx="5029200" cy="3513132"/>
            <wp:docPr id="1" name="Picture 1"/>
            <wp:cNvGraphicFramePr>
              <a:graphicFrameLocks noChangeAspect="1"/>
            </wp:cNvGraphicFramePr>
            <a:graphic>
              <a:graphicData uri="http://schemas.openxmlformats.org/drawingml/2006/picture">
                <pic:pic>
                  <pic:nvPicPr>
                    <pic:cNvPr id="0" name="moderation_interaction_plot.png"/>
                    <pic:cNvPicPr/>
                  </pic:nvPicPr>
                  <pic:blipFill>
                    <a:blip r:embed="rId9"/>
                    <a:stretch>
                      <a:fillRect/>
                    </a:stretch>
                  </pic:blipFill>
                  <pic:spPr>
                    <a:xfrm>
                      <a:off x="0" y="0"/>
                      <a:ext cx="5029200" cy="3513132"/>
                    </a:xfrm>
                    <a:prstGeom prst="rect"/>
                  </pic:spPr>
                </pic:pic>
              </a:graphicData>
            </a:graphic>
          </wp:inline>
        </w:drawing>
      </w:r>
    </w:p>
    <w:p>
      <w:pPr>
        <w:jc w:val="center"/>
      </w:pPr>
      <w:r>
        <w:rPr>
          <w:i/>
          <w:sz w:val="20"/>
        </w:rPr>
        <w:t>图1 工作场所政策支持的调节效应图</w:t>
      </w:r>
    </w:p>
    <w:p>
      <w:r>
        <w:t>如图1所示，结果呈现缓冲型交互模式。在低政策支持水平下（-1 SD），工作压力对参与频率具有显著负向预测作用，B = -0.277，SE = 0.098，t(567) = -2.820，p = 0.005，95% CI = [-0.469, -0.084]；在中等政策支持水平下，工作压力对参与频率的影响不显著，B = -0.067，SE = 0.073，t(567) = -0.928，p = 0.354，95% CI = [-0.210, 0.075]；在高政策支持水平下（+1 SD），斜率为正但不显著，B = 0.142，SE = 0.103，t(567) = 1.377，p = 0.169，95% CI = [-0.060, 0.345]。</w:t>
      </w:r>
    </w:p>
    <w:p>
      <w:pPr>
        <w:pStyle w:val="Heading3"/>
      </w:pPr>
      <w:r>
        <w:t>3.4 Johnson-Neyman 显著性区间</w:t>
      </w:r>
    </w:p>
    <w:p>
      <w:r>
        <w:t>本研究进一步采用Johnson-Neyman法确定显著性区间。结果显示，当政策支持水平低于0.545时（约占样本的36.0%），工作压力对参与频率的负向效应显著；当政策支持水平高于2.357时（约占样本的5.7%），工作压力对参与频率的正向效应显著；对于大多数被试（58.3%），即政策支持水平在0.545至2.357之间时，工作压力与参与频率之间不存在显著关联。</w:t>
      </w:r>
    </w:p>
    <w:p/>
    <w:p>
      <w:pPr>
        <w:jc w:val="center"/>
      </w:pPr>
      <w:r>
        <w:drawing>
          <wp:inline xmlns:a="http://schemas.openxmlformats.org/drawingml/2006/main" xmlns:pic="http://schemas.openxmlformats.org/drawingml/2006/picture">
            <wp:extent cx="5029200" cy="3499457"/>
            <wp:docPr id="2" name="Picture 2"/>
            <wp:cNvGraphicFramePr>
              <a:graphicFrameLocks noChangeAspect="1"/>
            </wp:cNvGraphicFramePr>
            <a:graphic>
              <a:graphicData uri="http://schemas.openxmlformats.org/drawingml/2006/picture">
                <pic:pic>
                  <pic:nvPicPr>
                    <pic:cNvPr id="0" name="johnson_neyman_plot.png"/>
                    <pic:cNvPicPr/>
                  </pic:nvPicPr>
                  <pic:blipFill>
                    <a:blip r:embed="rId10"/>
                    <a:stretch>
                      <a:fillRect/>
                    </a:stretch>
                  </pic:blipFill>
                  <pic:spPr>
                    <a:xfrm>
                      <a:off x="0" y="0"/>
                      <a:ext cx="5029200" cy="3499457"/>
                    </a:xfrm>
                    <a:prstGeom prst="rect"/>
                  </pic:spPr>
                </pic:pic>
              </a:graphicData>
            </a:graphic>
          </wp:inline>
        </w:drawing>
      </w:r>
    </w:p>
    <w:p>
      <w:pPr>
        <w:jc w:val="center"/>
      </w:pPr>
      <w:r>
        <w:rPr>
          <w:i/>
          <w:sz w:val="20"/>
        </w:rPr>
        <w:t>图2 Johnson-Neyman 显著性区间图</w:t>
      </w:r>
    </w:p>
    <w:p>
      <w:pPr>
        <w:pStyle w:val="Heading3"/>
      </w:pPr>
      <w:r>
        <w:t>3.5 效应量</w:t>
      </w:r>
    </w:p>
    <w:p>
      <w:r>
        <w:t>效应量方面，交互项的Cohen's f² = 0.016，根据Cohen（1988）的标准，属于极小效应（低于小效应标准0.02）。这表明虽然调节效应在统计上显著，但实际效应幅度有限。</w:t>
      </w:r>
    </w:p>
    <w:p>
      <w:pPr>
        <w:pStyle w:val="Heading3"/>
      </w:pPr>
      <w:r>
        <w:t>3.6 稳健性检验</w:t>
      </w:r>
    </w:p>
    <w:p>
      <w:r>
        <w:t>为验证结果的稳健性，本研究进行了多项检验：</w:t>
      </w:r>
    </w:p>
    <w:p>
      <w:pPr>
        <w:pStyle w:val="ListNumber"/>
      </w:pPr>
      <w:r>
        <w:t>（1）Bootstrap法（5000次重抽样）结果显示，交互项的95%置信区间为[0.080, 0.381]，不包含0；</w:t>
      </w:r>
    </w:p>
    <w:p>
      <w:pPr>
        <w:pStyle w:val="ListNumber"/>
      </w:pPr>
      <w:r>
        <w:t>（2）将政策支持二分（有支持vs.无支持）后，交互效应仍然显著，B = 0.528，p &lt; 0.001；</w:t>
      </w:r>
    </w:p>
    <w:p>
      <w:pPr>
        <w:pStyle w:val="ListNumber"/>
      </w:pPr>
      <w:r>
        <w:t>（3）不同控制变量组合下，交互效应均保持显著；</w:t>
      </w:r>
    </w:p>
    <w:p>
      <w:pPr>
        <w:pStyle w:val="ListNumber"/>
      </w:pPr>
      <w:r>
        <w:t>（4）剔除高影响点（Cook's D &gt; 4/n）后，结果基本一致。</w:t>
      </w:r>
    </w:p>
    <w:p>
      <w:r>
        <w:t>以上检验均表明调节效应结果稳健。</w:t>
      </w:r>
    </w:p>
    <w:p>
      <w:pPr>
        <w:pStyle w:val="Heading2"/>
      </w:pPr>
      <w:r>
        <w:t>四、讨论</w:t>
      </w:r>
    </w:p>
    <w:p>
      <w:pPr>
        <w:pStyle w:val="Heading3"/>
      </w:pPr>
      <w:r>
        <w:t>4.1 主要发现</w:t>
      </w:r>
    </w:p>
    <w:p>
      <w:r>
        <w:t>本研究检验了工作场所政策支持在工作压力与父亲家庭教育参与之间的调节作用。结果表明，调节效应显著，假设H4获得支持。具体而言，政策支持起到了缓冲器的作用：缺乏政策支持时，工作压力显著抑制父亲参与；有政策支持时，压力的负面影响被削弱至不显著水平。</w:t>
      </w:r>
    </w:p>
    <w:p>
      <w:pPr>
        <w:pStyle w:val="Heading3"/>
      </w:pPr>
      <w:r>
        <w:t>4.2 理论意义</w:t>
      </w:r>
    </w:p>
    <w:p>
      <w:r>
        <w:t>本研究结果支持了资源保存理论的观点，即工作场所政策作为一种资源，可以缓冲工作压力带来的资源损耗，从而保护父亲的家庭教育参与。同时，本研究也丰富了布朗芬布伦纳生态系统理论的实证证据，表明外层系统因素（工作场所政策）可以调节中层系统因素（工作压力）对微观系统（家庭参与）的影响。</w:t>
      </w:r>
    </w:p>
    <w:p>
      <w:pPr>
        <w:pStyle w:val="Heading3"/>
      </w:pPr>
      <w:r>
        <w:t>4.3 实践意义</w:t>
      </w:r>
    </w:p>
    <w:p>
      <w:r>
        <w:t>本研究结果对政策制定和企业管理具有一定启示。首先，对于工作压力较大的父亲群体，工作场所支持政策尤为重要。缺乏政策支持时，压力会显著抑制父亲参与家庭教育。其次，应重点关注低政策支持且高工作压力的父亲群体，为他们提供灵活工作时间、育儿假等支持，可能有效提升其家庭教育参与度。</w:t>
      </w:r>
    </w:p>
    <w:p>
      <w:pPr>
        <w:pStyle w:val="Heading3"/>
      </w:pPr>
      <w:r>
        <w:t>4.4 研究局限</w:t>
      </w:r>
    </w:p>
    <w:p>
      <w:r>
        <w:t>本研究存在以下局限：第一，工作压力变量测量的是"压力对参与的感知影响"，而非"工作压力本身的水平"，与因变量存在一定概念重叠，可能导致效应估计偏差。第二，采用横截面设计，无法确定因果关系。第三，核心变量均为单题项测量，信效度可能不足。第四，政策支持采用计数法合成，假设各项政策权重相同，实际上不同政策的效果可能存在差异。第五，样本来自中国东部某区，代表性可能有限。第六，虽然统计显著，但效应量较小，实际影响幅度有限。</w:t>
      </w:r>
    </w:p>
    <w:p>
      <w:pPr>
        <w:pStyle w:val="Heading3"/>
      </w:pPr>
      <w:r>
        <w:t>4.5 未来研究方向</w:t>
      </w:r>
    </w:p>
    <w:p>
      <w:r>
        <w:t>未来研究可以从以下方面改进：使用更严谨的工作压力测量工具；采用纵向设计检验因果关系；分别检验不同类型政策支持的调节效应；探索其他可能的调节变量（如性别角色态度、配偶支持）；在不同文化背景下验证本研究结果。</w:t>
      </w:r>
    </w:p>
    <w:p>
      <w:pPr>
        <w:pStyle w:val="Heading2"/>
      </w:pPr>
      <w:r>
        <w:t>五、结论</w:t>
      </w:r>
    </w:p>
    <w:p>
      <w:r>
        <w:t>工作场所政策支持显著调节工作压力与父亲家庭教育参与频率之间的关系，起到了缓冲器的作用。缺乏政策支持时，工作压力显著抑制父亲参与；有政策支持时，压力的负面影响被削弱至不显著水平。假设H4获得支持。但效应量较小，实际影响幅度有限，解读时应谨慎。</w:t>
      </w:r>
    </w:p>
    <w:p>
      <w:pPr>
        <w:pStyle w:val="Heading2"/>
      </w:pPr>
      <w:r>
        <w:t>参考文献</w:t>
      </w:r>
    </w:p>
    <w:p>
      <w:pPr>
        <w:ind w:left="720" w:hanging="720"/>
      </w:pPr>
      <w:r>
        <w:rPr>
          <w:sz w:val="20"/>
        </w:rPr>
        <w:t>Aiken, L. S., &amp; West, S. G. (1991). Multiple regression: Testing and interpreting interactions. Sage.</w:t>
      </w:r>
    </w:p>
    <w:p>
      <w:pPr>
        <w:ind w:left="720" w:hanging="720"/>
      </w:pPr>
      <w:r>
        <w:rPr>
          <w:sz w:val="20"/>
        </w:rPr>
        <w:t>Hayes, A. F. (2018). Introduction to mediation, moderation, and conditional process analysis: A regression-based approach (2nd ed.). Guilford Press.</w:t>
      </w:r>
    </w:p>
    <w:p>
      <w:pPr>
        <w:ind w:left="720" w:hanging="720"/>
      </w:pPr>
      <w:r>
        <w:rPr>
          <w:sz w:val="20"/>
        </w:rPr>
        <w:t>Cohen, J. (1988). Statistical power analysis for the behavioral sciences (2nd ed.). Lawrence Erlbaum.</w:t>
      </w:r>
    </w:p>
    <w:p>
      <w:pPr>
        <w:ind w:left="720" w:hanging="720"/>
      </w:pPr>
      <w:r>
        <w:rPr>
          <w:sz w:val="20"/>
        </w:rPr>
        <w:t>Hobfoll, S. E. (1989). Conservation of resources: A new attempt at conceptualizing stress. American Psychologist, 44(3), 513-524.</w:t>
      </w:r>
    </w:p>
    <w:p>
      <w:pPr>
        <w:ind w:left="720" w:hanging="720"/>
      </w:pPr>
      <w:r>
        <w:rPr>
          <w:sz w:val="20"/>
        </w:rPr>
        <w:t>Bronfenbrenner, U. (1979). The ecology of human development: Experiments by nature and design. Harvard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