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RESEARCH DEFINITION / 2026</w:t>
      </w:r>
    </w:p>
    <w:p>
      <w:pPr>
        <w:pStyle w:val="Title"/>
      </w:pPr>
      <w:r>
        <w:t>CoralBleach-Agent</w:t>
      </w:r>
    </w:p>
    <w:p>
      <w:pPr>
        <w:spacing w:before="240"/>
      </w:pPr>
      <w:r>
        <w:rPr>
          <w:b/>
          <w:color w:val="173D46"/>
          <w:sz w:val="44"/>
        </w:rPr>
        <w:t>面向复杂环境扰动的</w:t>
        <w:br/>
        <w:t>全球珊瑚白化预测预警</w:t>
        <w:br/>
        <w:t>与科学发现智能体</w:t>
      </w:r>
    </w:p>
    <w:p>
      <w:pPr>
        <w:pStyle w:val="Subtitle"/>
        <w:jc w:val="left"/>
      </w:pPr>
      <w:r>
        <w:rPr>
          <w:b w:val="0"/>
        </w:rPr>
        <w:t>科学问题定义与最小验证方案</w:t>
      </w:r>
    </w:p>
    <w:p>
      <w:pPr>
        <w:spacing w:before="240"/>
        <w:jc w:val="both"/>
      </w:pPr>
      <w:r>
        <w:rPr>
          <w:b w:val="0"/>
          <w:sz w:val="30"/>
        </w:rPr>
        <w:t>环境风险  →  白化证据  →  生态后果</w:t>
      </w:r>
    </w:p>
    <w:p>
      <w:pPr>
        <w:jc w:val="both"/>
      </w:pPr>
      <w:r>
        <w:rPr>
          <w:b w:val="0"/>
        </w:rPr>
        <w:t>大模型诊断场景，科学模型执行计算，独立评估约束结论。</w:t>
      </w:r>
    </w:p>
    <w:p>
      <w:r>
        <w:drawing>
          <wp:inline xmlns:a="http://schemas.openxmlformats.org/drawingml/2006/main" xmlns:pic="http://schemas.openxmlformats.org/drawingml/2006/picture">
            <wp:extent cx="5508000" cy="161797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508000" cy="1617975"/>
                    </a:xfrm>
                    <a:prstGeom prst="rect"/>
                  </pic:spPr>
                </pic:pic>
              </a:graphicData>
            </a:graphic>
          </wp:inline>
        </w:drawing>
      </w:r>
    </w:p>
    <w:p>
      <w:pPr>
        <w:pStyle w:val="Caption"/>
        <w:jc w:val="left"/>
      </w:pPr>
      <w:r>
        <w:rPr>
          <w:b w:val="0"/>
        </w:rPr>
        <w:t>2026 年 10 月 18 日  ·  版本 1.0</w:t>
      </w:r>
    </w:p>
    <w:p>
      <w:pPr>
        <w:pStyle w:val="Caption"/>
        <w:jc w:val="left"/>
      </w:pPr>
      <w:r>
        <w:rPr>
          <w:b w:val="0"/>
        </w:rPr>
        <w:t>演示工程使用合成数据；真实环境预测、机制解释和效率优势分别验证。</w:t>
      </w:r>
    </w:p>
    <w:p>
      <w:r>
        <w:br w:type="page"/>
      </w:r>
    </w:p>
    <w:p>
      <w:pPr>
        <w:pStyle w:val="Heading2"/>
        <w:jc w:val="left"/>
      </w:pPr>
      <w:r>
        <w:rPr>
          <w:b w:val="0"/>
        </w:rPr>
        <w:t>项目摘要</w:t>
      </w:r>
    </w:p>
    <w:p>
      <w:pPr>
        <w:jc w:val="both"/>
      </w:pPr>
      <w:r>
        <w:rPr>
          <w:b w:val="0"/>
        </w:rPr>
        <w:t>相近的热暴露可以对应不同的珊瑚白化响应。预警因此需要回答：在热压力已经可知时，哪些局地条件能进一步区分需要优先调查的礁区，环境信号应提前多久进入判断，以及这些关系能否在未参与建模的区域保持。CoralBleach-Agent 将这一问题组织为有限预算下的假设检验：以现场白化记录定义目标，以热应激、光照和生态背景描述暴露与敏感性，再检验水动力相关的先行信号是否提供额外信息。</w:t>
      </w:r>
    </w:p>
    <w:p>
      <w:pPr>
        <w:jc w:val="both"/>
      </w:pPr>
      <w:r>
        <w:rPr>
          <w:b w:val="0"/>
        </w:rPr>
        <w:t>项目的设计优势集中在三个环节。第一，环境风险、白化证据与生态后果分别存储和展示，防止环境代理替代生物终点。第二，将预测提前期与环境滞后分别定义，通过时空留出及方向、错时对照检验新增信息。第三，大模型依据研究问题和数据摘要进行场景诊断，从科学模型池提出受限动作；数值工具执行实验并返回验证反馈，规划器据此修正下一步，在预算内完成反例检查和方案冻结，使“下一项实验为何值得做”可以复核。当前交付实现上述计算流程和交互演示；真实预测性能、搜索效率优势与海洋过程解释分别进入后续验证。</w:t>
      </w:r>
    </w:p>
    <w:p>
      <w:pPr>
        <w:pStyle w:val="Heading1"/>
        <w:jc w:val="left"/>
      </w:pPr>
      <w:r>
        <w:rPr>
          <w:b w:val="0"/>
        </w:rPr>
        <w:t>一、科学问题：热暴露相近时，风险判断还缺少什么</w:t>
      </w:r>
    </w:p>
    <w:p>
      <w:pPr>
        <w:pStyle w:val="Heading2"/>
        <w:jc w:val="left"/>
      </w:pPr>
      <w:r>
        <w:rPr>
          <w:b w:val="0"/>
        </w:rPr>
        <w:t>1.1 从暴露到响应的辨识问题</w:t>
      </w:r>
    </w:p>
    <w:p>
      <w:pPr>
        <w:jc w:val="both"/>
      </w:pPr>
      <w:r>
        <w:rPr>
          <w:b w:val="0"/>
        </w:rPr>
        <w:t>珊瑚白化表示珊瑚与共生藻关系受到扰动，表现为色素或共生藻减少。白化后的珊瑚可能恢复，也可能在持续压力下死亡；一次白化调查不能替代死亡或恢复随访。[1] 对监测工作的直接影响是：热压力最大的地点、已观察到白化的地点和需要评估后续损失的地点，可能对应不同的调查任务。</w:t>
      </w:r>
    </w:p>
    <w:p>
      <w:pPr>
        <w:jc w:val="both"/>
      </w:pPr>
      <w:r>
        <w:rPr>
          <w:b w:val="0"/>
        </w:rPr>
        <w:t>NOAA Coral Reef Watch 的 DHW 产品将近期热压力累积为环境指标，为大范围风险识别提供依据。[2] 本项目保留其作为核心暴露信息的地位。进一步的问题是，同等热暴露能否通过局地环境和生态背景被分解为不同的白化风险。Sully 等对全球现场记录的分析显示，白化与热异常的关系存在空间差异，温度变异等背景也参与解释观测模式。[3] 因此，本项目不将“白化受多因子影响”本身作为新发现，而检验新增变量能否改变独立礁区的预测和调查排序。</w:t>
      </w:r>
    </w:p>
    <w:p>
      <w:pPr>
        <w:pStyle w:val="Heading2"/>
        <w:jc w:val="left"/>
      </w:pPr>
      <w:r>
        <w:rPr>
          <w:b w:val="0"/>
        </w:rPr>
        <w:t>1.2 中心问题与研究切片</w:t>
      </w:r>
    </w:p>
    <w:p>
      <w:pPr>
        <w:jc w:val="both"/>
      </w:pPr>
      <w:r>
        <w:rPr>
          <w:b w:val="0"/>
        </w:rPr>
        <w:t>核心科学问题是：在局地热应激已知、调查协议可比且输入时间受到约束的条件下，复合环境条件、生态敏感性与水动力相关的先行信号，能否改善未来第 7、14、30 天珊瑚白化状态的预测，并提高固定调查容量下的事件覆盖？如果能够改善，增益来自哪个条件、哪个时间尺度，又在哪些区域不能复现？</w:t>
      </w:r>
    </w:p>
    <w:p>
      <w:pPr>
        <w:jc w:val="both"/>
      </w:pPr>
      <w:r>
        <w:rPr>
          <w:b w:val="0"/>
        </w:rPr>
        <w:t>“全球”首先表示统一的数据与评估框架。首轮真实研究按数据审计结果选择有连续环境记录、可靠调查日期和重复白化观测的区域，再进行区域外检验。不能用全球底图或少量地名锚点代表已经实现全球预测能力。一次调查后的白化比例、持续时间和最终结局分别构成后续任务，不能混合为一个训练标签。</w:t>
      </w:r>
    </w:p>
    <w:p>
      <w:pPr>
        <w:pStyle w:val="Heading2"/>
        <w:jc w:val="left"/>
      </w:pPr>
      <w:r>
        <w:rPr>
          <w:b w:val="0"/>
        </w:rPr>
        <w:t>1.3 方法价值落在何处</w:t>
      </w:r>
    </w:p>
    <w:p>
      <w:pPr>
        <w:jc w:val="both"/>
      </w:pPr>
      <w:r>
        <w:rPr>
          <w:b w:val="0"/>
        </w:rPr>
        <w:t>证据分层解决“模型究竟预测了什么”的问题；时滞与空间对照解决“新增信息是否超出局地热暴露”的问题；有预算的探索与封存评估解决“如何选择下一项实验而不把测试集变成调参工具”的问题。三者共同形成可审核的研究环境。其价值由标签审计、适当对照和可复现运行支撑，不以模型数量或复杂度命名。</w:t>
      </w:r>
    </w:p>
    <w:p>
      <w:pPr>
        <w:pStyle w:val="Heading1"/>
        <w:jc w:val="left"/>
      </w:pPr>
      <w:r>
        <w:rPr>
          <w:b w:val="0"/>
        </w:rPr>
        <w:t>二、目标变量、预测单位与三层证据</w:t>
      </w:r>
    </w:p>
    <w:p>
      <w:pPr>
        <w:pStyle w:val="Heading2"/>
        <w:jc w:val="left"/>
      </w:pPr>
      <w:r>
        <w:rPr>
          <w:b w:val="0"/>
        </w:rPr>
        <w:t>2.1 可计算的目标定义</w:t>
      </w:r>
    </w:p>
    <w:p>
      <w:pPr>
        <w:jc w:val="both"/>
      </w:pPr>
      <w:r>
        <w:rPr>
          <w:b w:val="0"/>
        </w:rPr>
        <w:t>基本单位为“礁区中的固定调查单元 i × 预测起点 t × 提前期 H”。本版最小任务预测目标日 t+H 的白化状态，H 分别取 7、14、30 天。真实数据的示例二分类定义为：按照预先规定的调查协议，调查单元中白化珊瑚群体占受调查群体的比例达到阈值 τ；τ=10% 可作为先导分析方案，必须在测试前确定，并对替代阈值报告敏感性。不同来源中的群体比例、覆盖面积比例和序数评分不能未经转换合并。</w:t>
      </w:r>
    </w:p>
    <w:p>
      <w:pPr>
        <w:jc w:val="both"/>
      </w:pPr>
      <w:r>
        <w:rPr>
          <w:b w:val="0"/>
        </w:rPr>
        <w:t>目标日允许的调查匹配容差应在建模前登记，例如日期完整时使用 ±1 天；超出容差或目标日无调查的样本保留为未标注。调查日期、报告日期与数据可获得日期分别记录。只有在 t 之前已经可获得的信息才能作为输入。若随后改为“未来 H 天内首次白化”，必须增加连续随访、入组时无白化的条件及区间删失处理，另行评估发生时间；不得把本版目标日状态的成绩作为事件发生时间的成绩。</w:t>
      </w:r>
    </w:p>
    <w:p>
      <w:pPr>
        <w:jc w:val="both"/>
      </w:pPr>
      <w:r>
        <w:rPr>
          <w:b w:val="0"/>
        </w:rPr>
        <w:t>预测提前期 H 与环境滞后 L 分开：模型用 t 及此前的局地环境，并可用相连地点在 t−L 的环境信号预测 Y(i,t+H)。本版候选 L 为 0、7、14、30 天。即使最优 L 恰好等于 H，也不能据此认定生理响应时间。合成器中的隐藏延迟、候选输入滞后和目标提前期具有不同含义。</w:t>
      </w:r>
    </w:p>
    <w:p>
      <w:pPr>
        <w:pStyle w:val="Heading2"/>
        <w:jc w:val="left"/>
      </w:pPr>
      <w:r>
        <w:rPr>
          <w:b w:val="0"/>
        </w:rPr>
        <w:t>2.2 三层信息的接口边界</w:t>
      </w:r>
    </w:p>
    <w:tbl>
      <w:tblPr>
        <w:tblStyle w:val="TableGrid"/>
        <w:tblW w:type="auto" w:w="0"/>
        <w:tblLayout w:type="fixed"/>
        <w:tblLook w:firstColumn="1" w:firstRow="1" w:lastColumn="0" w:lastRow="0" w:noHBand="0" w:noVBand="1" w:val="04A0"/>
      </w:tblPr>
      <w:tblGrid>
        <w:gridCol w:w="2353"/>
        <w:gridCol w:w="2353"/>
        <w:gridCol w:w="2353"/>
        <w:gridCol w:w="2353"/>
      </w:tblGrid>
      <w:tr>
        <w:trPr>
          <w:cantSplit/>
          <w:tblHeader/>
        </w:trPr>
        <w:tc>
          <w:tcPr>
            <w:tcW w:type="dxa" w:w="2353"/>
            <w:shd w:fill="E1EEEB"/>
          </w:tcPr>
          <w:p>
            <w:pPr>
              <w:spacing w:after="100" w:before="100" w:line="283" w:lineRule="auto"/>
            </w:pPr>
            <w:r>
              <w:rPr>
                <w:b/>
                <w:sz w:val="18"/>
              </w:rPr>
              <w:t>层次</w:t>
            </w:r>
          </w:p>
        </w:tc>
        <w:tc>
          <w:tcPr>
            <w:tcW w:type="dxa" w:w="2353"/>
            <w:shd w:fill="E1EEEB"/>
          </w:tcPr>
          <w:p>
            <w:pPr>
              <w:spacing w:after="100" w:before="100" w:line="283" w:lineRule="auto"/>
            </w:pPr>
            <w:r>
              <w:rPr>
                <w:b/>
                <w:sz w:val="18"/>
              </w:rPr>
              <w:t>主要字段与证据</w:t>
            </w:r>
          </w:p>
        </w:tc>
        <w:tc>
          <w:tcPr>
            <w:tcW w:type="dxa" w:w="2353"/>
            <w:shd w:fill="E1EEEB"/>
          </w:tcPr>
          <w:p>
            <w:pPr>
              <w:spacing w:after="100" w:before="100" w:line="283" w:lineRule="auto"/>
            </w:pPr>
            <w:r>
              <w:rPr>
                <w:b/>
                <w:sz w:val="18"/>
              </w:rPr>
              <w:t>允许输出</w:t>
            </w:r>
          </w:p>
        </w:tc>
        <w:tc>
          <w:tcPr>
            <w:tcW w:type="dxa" w:w="2353"/>
            <w:shd w:fill="E1EEEB"/>
          </w:tcPr>
          <w:p>
            <w:pPr>
              <w:spacing w:after="100" w:before="100" w:line="283" w:lineRule="auto"/>
            </w:pPr>
            <w:r>
              <w:rPr>
                <w:b/>
                <w:sz w:val="18"/>
              </w:rPr>
              <w:t>不可替代的观测</w:t>
            </w:r>
          </w:p>
        </w:tc>
      </w:tr>
      <w:tr>
        <w:trPr>
          <w:cantSplit/>
        </w:trPr>
        <w:tc>
          <w:tcPr>
            <w:tcW w:type="dxa" w:w="2353"/>
          </w:tcPr>
          <w:p>
            <w:pPr>
              <w:spacing w:after="100" w:before="100" w:line="283" w:lineRule="auto"/>
            </w:pPr>
            <w:r>
              <w:rPr>
                <w:b w:val="0"/>
                <w:sz w:val="18"/>
              </w:rPr>
              <w:t>环境风险</w:t>
            </w:r>
          </w:p>
        </w:tc>
        <w:tc>
          <w:tcPr>
            <w:tcW w:type="dxa" w:w="2353"/>
          </w:tcPr>
          <w:p>
            <w:pPr>
              <w:spacing w:after="100" w:before="100" w:line="283" w:lineRule="auto"/>
            </w:pPr>
            <w:r>
              <w:rPr>
                <w:b w:val="0"/>
                <w:sz w:val="18"/>
              </w:rPr>
              <w:t>SST、DHW、光照、水动力及其时间戳</w:t>
            </w:r>
          </w:p>
        </w:tc>
        <w:tc>
          <w:tcPr>
            <w:tcW w:type="dxa" w:w="2353"/>
          </w:tcPr>
          <w:p>
            <w:pPr>
              <w:spacing w:after="100" w:before="100" w:line="283" w:lineRule="auto"/>
            </w:pPr>
            <w:r>
              <w:rPr>
                <w:b w:val="0"/>
                <w:sz w:val="18"/>
              </w:rPr>
              <w:t>环境暴露、风险排序、缺测提示</w:t>
            </w:r>
          </w:p>
        </w:tc>
        <w:tc>
          <w:tcPr>
            <w:tcW w:type="dxa" w:w="2353"/>
          </w:tcPr>
          <w:p>
            <w:pPr>
              <w:spacing w:after="100" w:before="100" w:line="283" w:lineRule="auto"/>
            </w:pPr>
            <w:r>
              <w:rPr>
                <w:b w:val="0"/>
                <w:sz w:val="18"/>
              </w:rPr>
              <w:t>不替代白化现场记录</w:t>
            </w:r>
          </w:p>
        </w:tc>
      </w:tr>
      <w:tr>
        <w:trPr>
          <w:cantSplit/>
        </w:trPr>
        <w:tc>
          <w:tcPr>
            <w:tcW w:type="dxa" w:w="2353"/>
          </w:tcPr>
          <w:p>
            <w:pPr>
              <w:spacing w:after="100" w:before="100" w:line="283" w:lineRule="auto"/>
            </w:pPr>
            <w:r>
              <w:rPr>
                <w:b w:val="0"/>
                <w:sz w:val="18"/>
              </w:rPr>
              <w:t>白化证据</w:t>
            </w:r>
          </w:p>
        </w:tc>
        <w:tc>
          <w:tcPr>
            <w:tcW w:type="dxa" w:w="2353"/>
          </w:tcPr>
          <w:p>
            <w:pPr>
              <w:spacing w:after="100" w:before="100" w:line="283" w:lineRule="auto"/>
            </w:pPr>
            <w:r>
              <w:rPr>
                <w:b w:val="0"/>
                <w:sz w:val="18"/>
              </w:rPr>
              <w:t>调查日期、方法、深度、类群、样本量、白化比例或等级</w:t>
            </w:r>
          </w:p>
        </w:tc>
        <w:tc>
          <w:tcPr>
            <w:tcW w:type="dxa" w:w="2353"/>
          </w:tcPr>
          <w:p>
            <w:pPr>
              <w:spacing w:after="100" w:before="100" w:line="283" w:lineRule="auto"/>
            </w:pPr>
            <w:r>
              <w:rPr>
                <w:b w:val="0"/>
                <w:sz w:val="18"/>
              </w:rPr>
              <w:t>白化状态与严重程度的协议内判断</w:t>
            </w:r>
          </w:p>
        </w:tc>
        <w:tc>
          <w:tcPr>
            <w:tcW w:type="dxa" w:w="2353"/>
          </w:tcPr>
          <w:p>
            <w:pPr>
              <w:spacing w:after="100" w:before="100" w:line="283" w:lineRule="auto"/>
            </w:pPr>
            <w:r>
              <w:rPr>
                <w:b w:val="0"/>
                <w:sz w:val="18"/>
              </w:rPr>
              <w:t>不替代死亡与恢复随访</w:t>
            </w:r>
          </w:p>
        </w:tc>
      </w:tr>
      <w:tr>
        <w:trPr>
          <w:cantSplit/>
        </w:trPr>
        <w:tc>
          <w:tcPr>
            <w:tcW w:type="dxa" w:w="2353"/>
          </w:tcPr>
          <w:p>
            <w:pPr>
              <w:spacing w:after="100" w:before="100" w:line="283" w:lineRule="auto"/>
            </w:pPr>
            <w:r>
              <w:rPr>
                <w:b w:val="0"/>
                <w:sz w:val="18"/>
              </w:rPr>
              <w:t>生态后果</w:t>
            </w:r>
          </w:p>
        </w:tc>
        <w:tc>
          <w:tcPr>
            <w:tcW w:type="dxa" w:w="2353"/>
          </w:tcPr>
          <w:p>
            <w:pPr>
              <w:spacing w:after="100" w:before="100" w:line="283" w:lineRule="auto"/>
            </w:pPr>
            <w:r>
              <w:rPr>
                <w:b w:val="0"/>
                <w:sz w:val="18"/>
              </w:rPr>
              <w:t>同一单元的重复调查、死亡计数、恢复状态、随访时长</w:t>
            </w:r>
          </w:p>
        </w:tc>
        <w:tc>
          <w:tcPr>
            <w:tcW w:type="dxa" w:w="2353"/>
          </w:tcPr>
          <w:p>
            <w:pPr>
              <w:spacing w:after="100" w:before="100" w:line="283" w:lineRule="auto"/>
            </w:pPr>
            <w:r>
              <w:rPr>
                <w:b w:val="0"/>
                <w:sz w:val="18"/>
              </w:rPr>
              <w:t>对指定结局的独立描述或预测</w:t>
            </w:r>
          </w:p>
        </w:tc>
        <w:tc>
          <w:tcPr>
            <w:tcW w:type="dxa" w:w="2353"/>
          </w:tcPr>
          <w:p>
            <w:pPr>
              <w:spacing w:after="100" w:before="100" w:line="283" w:lineRule="auto"/>
            </w:pPr>
            <w:r>
              <w:rPr>
                <w:b w:val="0"/>
                <w:sz w:val="18"/>
              </w:rPr>
              <w:t>不由热应激值或白化率直接推算</w:t>
            </w:r>
          </w:p>
        </w:tc>
      </w:tr>
    </w:tbl>
    <w:p>
      <w:pPr>
        <w:spacing w:after="0"/>
      </w:pPr>
    </w:p>
    <w:p>
      <w:pPr>
        <w:jc w:val="both"/>
      </w:pPr>
      <w:r>
        <w:rPr>
          <w:b w:val="0"/>
        </w:rPr>
        <w:t>标签另设证据等级：A 为调查方法、位置、日期和白化指标可追溯的现场记录；B 为可追溯的区域事件报告，需核对其精度与定义；C 为环境代理，仅用于驱动或候选风险；U 为未调查或状态不明。A/B/C/U 是本项目的数据管理约定，不是通用国际证据评级。A级未白化观测可在其调查范围内提供负例，U 不能自动成为负例；B 级不得自动升级成定量白化率。</w:t>
      </w:r>
    </w:p>
    <w:p>
      <w:pPr>
        <w:pStyle w:val="Heading2"/>
        <w:jc w:val="left"/>
      </w:pPr>
      <w:r>
        <w:rPr>
          <w:b w:val="0"/>
        </w:rPr>
        <w:t>2.3 真实数据接入优先级</w:t>
      </w:r>
    </w:p>
    <w:p>
      <w:pPr>
        <w:jc w:val="both"/>
      </w:pPr>
      <w:r>
        <w:rPr>
          <w:b w:val="0"/>
        </w:rPr>
        <w:t>环境数据首先接入 NOAA Coral Reef Watch，记录版本、分辨率、单位和历史发布时效。白化标签可从 Global Coral-Bleaching Database（GCBD）开始审计，并沿来源追踪原始调查；该数据库包含白化存在与缺失、调查事件及环境背景，但不等于连续日尺度观测。[4] 对恢复研究，Heatwaves and Coral-Recovery Database 提供独立的数据入口。[5] 这些来源在当前网站中作为接入路线列出，尚未作为本 Demo 的训练数据。</w:t>
      </w:r>
    </w:p>
    <w:p>
      <w:pPr>
        <w:jc w:val="both"/>
      </w:pPr>
      <w:r>
        <w:rPr>
          <w:b w:val="0"/>
        </w:rPr>
        <w:t>空间配对以调查单元和实际环境网格为依据，保存岸线掩膜、深度、聚合半径和时间匹配规则。卫星表层温度与不同深度珊瑚所受温度可能不一致，需用原位记录评估代表性。光照、pH、风暴、浑浊度和径流按其时空覆盖逐项纳入，不能为了“复杂场景”在缺乏可靠数据时强行填满特征表。</w:t>
      </w:r>
    </w:p>
    <w:p>
      <w:pPr>
        <w:pStyle w:val="Heading1"/>
        <w:jc w:val="left"/>
      </w:pPr>
      <w:r>
        <w:rPr>
          <w:b w:val="0"/>
        </w:rPr>
        <w:t>三、待检验的假设与实验职责</w:t>
      </w:r>
    </w:p>
    <w:p>
      <w:pPr>
        <w:pStyle w:val="Heading2"/>
        <w:jc w:val="left"/>
      </w:pPr>
      <w:r>
        <w:rPr>
          <w:b w:val="0"/>
        </w:rPr>
        <w:t>3.1 复合环境与敏感性是否改变排序</w:t>
      </w:r>
    </w:p>
    <w:p>
      <w:pPr>
        <w:jc w:val="both"/>
      </w:pPr>
      <w:r>
        <w:rPr>
          <w:b w:val="0"/>
        </w:rPr>
        <w:t>H1：在局地热压力相近的样本中，光照及可获得的生态敏感性信息能提供额外的白化区分能力。比较局地热应激模型、加入其他局地条件的加性模型与包含预设交互项的模型，在一致的外层划分下评价。若增益在区域外验证中消失，或被调查方法、深度和监测强度差异解释，则不支持该条件下的增量价值。交互项用于描述统计关系，不直接等于生理机制。</w:t>
      </w:r>
    </w:p>
    <w:p>
      <w:pPr>
        <w:pStyle w:val="Heading2"/>
        <w:jc w:val="left"/>
      </w:pPr>
      <w:r>
        <w:rPr>
          <w:b w:val="0"/>
        </w:rPr>
        <w:t>3.2 先行环境信息是否超出局地解释</w:t>
      </w:r>
    </w:p>
    <w:p>
      <w:pPr>
        <w:jc w:val="both"/>
      </w:pPr>
      <w:r>
        <w:rPr>
          <w:b w:val="0"/>
        </w:rPr>
        <w:t>H2：在固定 H 后，不同输入滞后 L 的环境特征可能改变预测能力。比较预登记的滞后与无滞后候选，报告选择稳定性及跨年份变化。环境变量的持续性也会制造相似窗口表现，应同时检查持续性和季节解释，而不能将某一个高分窗口直接解释为响应时长。</w:t>
      </w:r>
    </w:p>
    <w:p>
      <w:pPr>
        <w:jc w:val="both"/>
      </w:pPr>
      <w:r>
        <w:rPr>
          <w:b w:val="0"/>
        </w:rPr>
        <w:t>H3：水动力相关的方向性环境连接可能提供局地变量和对称邻域之外的信息。真实研究应由流场或水团交换信息构建连接，并与相同模型容量的局地、邻域、反向连接及保留自相关结构的时间错位或分块置换对照比较。共同季节变化、共享气候驱动和空间自相关都可能产生类似信号。空间相关或方向模型胜出仅支持进一步核查，不能证明白化沿海流传播；真实的输运路径还需独立物理证据。</w:t>
      </w:r>
    </w:p>
    <w:p>
      <w:pPr>
        <w:pStyle w:val="Heading2"/>
        <w:jc w:val="left"/>
      </w:pPr>
      <w:r>
        <w:rPr>
          <w:b w:val="0"/>
        </w:rPr>
        <w:t>3.3 可迁移性与预算选择分别检验</w:t>
      </w:r>
    </w:p>
    <w:p>
      <w:pPr>
        <w:jc w:val="both"/>
      </w:pPr>
      <w:r>
        <w:rPr>
          <w:b w:val="0"/>
        </w:rPr>
        <w:t>H4：上述候选关系可以在未参与选择的区域和后续日期保持。前向年份留出、区域整体留出及事件簇阻断共同限定评估；按调查来源、类群、深度和监测强度报告分层结果。需要更多独立区域后才讨论海盆尺度迁移，不能把两个抽象合成单元称为两个真实海盆。</w:t>
      </w:r>
    </w:p>
    <w:p>
      <w:pPr>
        <w:jc w:val="both"/>
      </w:pPr>
      <w:r>
        <w:rPr>
          <w:b w:val="0"/>
        </w:rPr>
        <w:t>H5：在候选空间和拟合次数相同的条件下，反馈驱动的选择可能比随机搜索更早获得较高的验证效用。比较完整轨迹、最佳效用随预算变化、实际用时和独立测试表现，并重复多个种子。候选数量有限时不预设渐近复杂度收益。默认无密钥模式采用可审计启发式；另提供真实大模型规划接口。二者分别标记，搜索效率是否提高由同口径比较结果决定，不能将启发式结果记作大模型成绩。</w:t>
      </w:r>
    </w:p>
    <w:p>
      <w:pPr>
        <w:pStyle w:val="Heading1"/>
        <w:jc w:val="left"/>
      </w:pPr>
      <w:r>
        <w:rPr>
          <w:b w:val="0"/>
        </w:rPr>
        <w:t>四、Agent 环境与可执行接口</w:t>
      </w:r>
    </w:p>
    <w:p>
      <w:pPr>
        <w:pStyle w:val="Heading2"/>
        <w:jc w:val="left"/>
      </w:pPr>
      <w:r>
        <w:rPr>
          <w:b w:val="0"/>
        </w:rPr>
        <w:t>4.1 大模型规划、科学模型计算、评估器守界</w:t>
      </w:r>
    </w:p>
    <w:p>
      <w:pPr>
        <w:jc w:val="both"/>
      </w:pPr>
      <w:r>
        <w:rPr>
          <w:b w:val="0"/>
        </w:rPr>
        <w:t>控制架构沿用 GlobalHAB 的科学 Agent：用户提出研究问题，大模型读取训练摘要及已完成的验证反馈，诊断当前可检验的条件并选择模型；工具层负责执行、计费预算及返回观测；评估器负责分区、指标和封存测试。语言模型不能生成预测分数或修改标签。大模型池负责规划，科学模型池负责数值计算，两者用途分别记录。</w:t>
      </w:r>
    </w:p>
    <w:p>
      <w:pPr>
        <w:jc w:val="both"/>
      </w:pPr>
      <w:r>
        <w:rPr>
          <w:b w:val="0"/>
        </w:rPr>
        <w:t>在运行前固定目标定义、数据版本、提前期、候选空间、训练/验证/测试分区、预算、效用与负对照。Agent 可以选择下一项未测试候选，不能改写标签、测试单元、基线或判定门槛。候选由三种路线（局地、邻域、方向性）、四种环境滞后（0/7/14/30 天）和两种 Logistic 表达（加性、含交互项）组合而成，共 24 项。</w:t>
      </w:r>
    </w:p>
    <w:p>
      <w:pPr>
        <w:jc w:val="both"/>
      </w:pPr>
      <w:r>
        <w:rPr>
          <w:b w:val="0"/>
        </w:rPr>
        <w:t>本版网页在浏览器中实际生成合成时间序列、拟合模型并计算指标。数据生成器定义 12 个抽象礁区、740 天和 8,880 条日记录，使用局地热压力、光照、敏感性与抽象相连单元的先前信号生成二元状态。该设计用于检查代码是否运行、时间索引是否一致以及不同候选能否产生不同结果；生成器不是珊瑚生理模型，抽象连接也不是观测流场。</w:t>
      </w:r>
    </w:p>
    <w:p>
      <w:r>
        <w:drawing>
          <wp:inline xmlns:a="http://schemas.openxmlformats.org/drawingml/2006/main" xmlns:pic="http://schemas.openxmlformats.org/drawingml/2006/picture">
            <wp:extent cx="5903999" cy="17343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03999" cy="1734300"/>
                    </a:xfrm>
                    <a:prstGeom prst="rect"/>
                  </pic:spPr>
                </pic:pic>
              </a:graphicData>
            </a:graphic>
          </wp:inline>
        </w:drawing>
      </w:r>
    </w:p>
    <w:p>
      <w:pPr>
        <w:pStyle w:val="Caption"/>
        <w:jc w:val="left"/>
      </w:pPr>
      <w:r>
        <w:rPr>
          <w:b w:val="0"/>
        </w:rPr>
        <w:t>图 1 受预算约束的科研 Agent。反馈来自验证集；冻结后测试只用于评估与解读。</w:t>
      </w:r>
    </w:p>
    <w:p>
      <w:pPr>
        <w:pStyle w:val="Heading2"/>
        <w:jc w:val="left"/>
      </w:pPr>
      <w:r>
        <w:rPr>
          <w:b w:val="0"/>
        </w:rPr>
        <w:t>4.2 观察、行动、反馈与停止</w:t>
      </w:r>
    </w:p>
    <w:tbl>
      <w:tblPr>
        <w:tblStyle w:val="TableGrid"/>
        <w:tblW w:type="auto" w:w="0"/>
        <w:tblLayout w:type="fixed"/>
        <w:tblLook w:firstColumn="1" w:firstRow="1" w:lastColumn="0" w:lastRow="0" w:noHBand="0" w:noVBand="1" w:val="04A0"/>
      </w:tblPr>
      <w:tblGrid>
        <w:gridCol w:w="3137"/>
        <w:gridCol w:w="3137"/>
        <w:gridCol w:w="3137"/>
      </w:tblGrid>
      <w:tr>
        <w:trPr>
          <w:cantSplit/>
          <w:tblHeader/>
        </w:trPr>
        <w:tc>
          <w:tcPr>
            <w:tcW w:type="dxa" w:w="3137"/>
            <w:shd w:fill="E1EEEB"/>
          </w:tcPr>
          <w:p>
            <w:pPr>
              <w:spacing w:after="100" w:before="100" w:line="283" w:lineRule="auto"/>
            </w:pPr>
            <w:r>
              <w:rPr>
                <w:b/>
                <w:sz w:val="18"/>
              </w:rPr>
              <w:t>工具</w:t>
            </w:r>
          </w:p>
        </w:tc>
        <w:tc>
          <w:tcPr>
            <w:tcW w:type="dxa" w:w="3137"/>
            <w:shd w:fill="E1EEEB"/>
          </w:tcPr>
          <w:p>
            <w:pPr>
              <w:spacing w:after="100" w:before="100" w:line="283" w:lineRule="auto"/>
            </w:pPr>
            <w:r>
              <w:rPr>
                <w:b/>
                <w:sz w:val="18"/>
              </w:rPr>
              <w:t>大模型可提出的动作</w:t>
            </w:r>
          </w:p>
        </w:tc>
        <w:tc>
          <w:tcPr>
            <w:tcW w:type="dxa" w:w="3137"/>
            <w:shd w:fill="E1EEEB"/>
          </w:tcPr>
          <w:p>
            <w:pPr>
              <w:spacing w:after="100" w:before="100" w:line="283" w:lineRule="auto"/>
            </w:pPr>
            <w:r>
              <w:rPr>
                <w:b/>
                <w:sz w:val="18"/>
              </w:rPr>
              <w:t>程序执行与约束</w:t>
            </w:r>
          </w:p>
        </w:tc>
      </w:tr>
      <w:tr>
        <w:trPr>
          <w:cantSplit/>
        </w:trPr>
        <w:tc>
          <w:tcPr>
            <w:tcW w:type="dxa" w:w="3137"/>
          </w:tcPr>
          <w:p>
            <w:pPr>
              <w:spacing w:after="100" w:before="100" w:line="283" w:lineRule="auto"/>
            </w:pPr>
            <w:r>
              <w:rPr>
                <w:b w:val="0"/>
                <w:sz w:val="18"/>
              </w:rPr>
              <w:t>inspect_data</w:t>
            </w:r>
          </w:p>
        </w:tc>
        <w:tc>
          <w:tcPr>
            <w:tcW w:type="dxa" w:w="3137"/>
          </w:tcPr>
          <w:p>
            <w:pPr>
              <w:spacing w:after="100" w:before="100" w:line="283" w:lineRule="auto"/>
            </w:pPr>
            <w:r>
              <w:rPr>
                <w:b w:val="0"/>
                <w:sz w:val="18"/>
              </w:rPr>
              <w:t>检查场景、训练摘要、数据规模与剩余预算</w:t>
            </w:r>
          </w:p>
        </w:tc>
        <w:tc>
          <w:tcPr>
            <w:tcW w:type="dxa" w:w="3137"/>
          </w:tcPr>
          <w:p>
            <w:pPr>
              <w:spacing w:after="100" w:before="100" w:line="283" w:lineRule="auto"/>
            </w:pPr>
            <w:r>
              <w:rPr>
                <w:b w:val="0"/>
                <w:sz w:val="18"/>
              </w:rPr>
              <w:t>不提供封存测试数据或标签</w:t>
            </w:r>
          </w:p>
        </w:tc>
      </w:tr>
      <w:tr>
        <w:trPr>
          <w:cantSplit/>
        </w:trPr>
        <w:tc>
          <w:tcPr>
            <w:tcW w:type="dxa" w:w="3137"/>
          </w:tcPr>
          <w:p>
            <w:pPr>
              <w:spacing w:after="100" w:before="100" w:line="283" w:lineRule="auto"/>
            </w:pPr>
            <w:r>
              <w:rPr>
                <w:b w:val="0"/>
                <w:sz w:val="18"/>
              </w:rPr>
              <w:t>select_models</w:t>
            </w:r>
          </w:p>
        </w:tc>
        <w:tc>
          <w:tcPr>
            <w:tcW w:type="dxa" w:w="3137"/>
          </w:tcPr>
          <w:p>
            <w:pPr>
              <w:spacing w:after="100" w:before="100" w:line="283" w:lineRule="auto"/>
            </w:pPr>
            <w:r>
              <w:rPr>
                <w:b w:val="0"/>
                <w:sz w:val="18"/>
              </w:rPr>
              <w:t>从科学模型目录选择至少两种模型</w:t>
            </w:r>
          </w:p>
        </w:tc>
        <w:tc>
          <w:tcPr>
            <w:tcW w:type="dxa" w:w="3137"/>
          </w:tcPr>
          <w:p>
            <w:pPr>
              <w:spacing w:after="100" w:before="100" w:line="283" w:lineRule="auto"/>
            </w:pPr>
            <w:r>
              <w:rPr>
                <w:b w:val="0"/>
                <w:sz w:val="18"/>
              </w:rPr>
              <w:t>本版为加性与交互项 Logistic；拒绝未知模型</w:t>
            </w:r>
          </w:p>
        </w:tc>
      </w:tr>
      <w:tr>
        <w:trPr>
          <w:cantSplit/>
        </w:trPr>
        <w:tc>
          <w:tcPr>
            <w:tcW w:type="dxa" w:w="3137"/>
          </w:tcPr>
          <w:p>
            <w:pPr>
              <w:spacing w:after="100" w:before="100" w:line="283" w:lineRule="auto"/>
            </w:pPr>
            <w:r>
              <w:rPr>
                <w:b w:val="0"/>
                <w:sz w:val="18"/>
              </w:rPr>
              <w:t>evaluate_hypothesis</w:t>
            </w:r>
          </w:p>
        </w:tc>
        <w:tc>
          <w:tcPr>
            <w:tcW w:type="dxa" w:w="3137"/>
          </w:tcPr>
          <w:p>
            <w:pPr>
              <w:spacing w:after="100" w:before="100" w:line="283" w:lineRule="auto"/>
            </w:pPr>
            <w:r>
              <w:rPr>
                <w:b w:val="0"/>
                <w:sz w:val="18"/>
              </w:rPr>
              <w:t>选择路线、输入滞后和模型组成的候选</w:t>
            </w:r>
          </w:p>
        </w:tc>
        <w:tc>
          <w:tcPr>
            <w:tcW w:type="dxa" w:w="3137"/>
          </w:tcPr>
          <w:p>
            <w:pPr>
              <w:spacing w:after="100" w:before="100" w:line="283" w:lineRule="auto"/>
            </w:pPr>
            <w:r>
              <w:rPr>
                <w:b w:val="0"/>
                <w:sz w:val="18"/>
              </w:rPr>
              <w:t>实际拟合，返回验证指标；每次消耗 1 次实验</w:t>
            </w:r>
          </w:p>
        </w:tc>
      </w:tr>
      <w:tr>
        <w:trPr>
          <w:cantSplit/>
        </w:trPr>
        <w:tc>
          <w:tcPr>
            <w:tcW w:type="dxa" w:w="3137"/>
          </w:tcPr>
          <w:p>
            <w:pPr>
              <w:spacing w:after="100" w:before="100" w:line="283" w:lineRule="auto"/>
            </w:pPr>
            <w:r>
              <w:rPr>
                <w:b w:val="0"/>
                <w:sz w:val="18"/>
              </w:rPr>
              <w:t>negative_control</w:t>
            </w:r>
          </w:p>
        </w:tc>
        <w:tc>
          <w:tcPr>
            <w:tcW w:type="dxa" w:w="3137"/>
          </w:tcPr>
          <w:p>
            <w:pPr>
              <w:spacing w:after="100" w:before="100" w:line="283" w:lineRule="auto"/>
            </w:pPr>
            <w:r>
              <w:rPr>
                <w:b w:val="0"/>
                <w:sz w:val="18"/>
              </w:rPr>
              <w:t>为已运行候选提出反向或错时对照</w:t>
            </w:r>
          </w:p>
        </w:tc>
        <w:tc>
          <w:tcPr>
            <w:tcW w:type="dxa" w:w="3137"/>
          </w:tcPr>
          <w:p>
            <w:pPr>
              <w:spacing w:after="100" w:before="100" w:line="283" w:lineRule="auto"/>
            </w:pPr>
            <w:r>
              <w:rPr>
                <w:b w:val="0"/>
                <w:sz w:val="18"/>
              </w:rPr>
              <w:t>分别拟合和评分；每次消耗 1 次实验</w:t>
            </w:r>
          </w:p>
        </w:tc>
      </w:tr>
      <w:tr>
        <w:trPr>
          <w:cantSplit/>
        </w:trPr>
        <w:tc>
          <w:tcPr>
            <w:tcW w:type="dxa" w:w="3137"/>
          </w:tcPr>
          <w:p>
            <w:pPr>
              <w:spacing w:after="100" w:before="100" w:line="283" w:lineRule="auto"/>
            </w:pPr>
            <w:r>
              <w:rPr>
                <w:b w:val="0"/>
                <w:sz w:val="18"/>
              </w:rPr>
              <w:t>finish</w:t>
            </w:r>
          </w:p>
        </w:tc>
        <w:tc>
          <w:tcPr>
            <w:tcW w:type="dxa" w:w="3137"/>
          </w:tcPr>
          <w:p>
            <w:pPr>
              <w:spacing w:after="100" w:before="100" w:line="283" w:lineRule="auto"/>
            </w:pPr>
            <w:r>
              <w:rPr>
                <w:b w:val="0"/>
                <w:sz w:val="18"/>
              </w:rPr>
              <w:t>锁定已经完成反例核查的候选</w:t>
            </w:r>
          </w:p>
        </w:tc>
        <w:tc>
          <w:tcPr>
            <w:tcW w:type="dxa" w:w="3137"/>
          </w:tcPr>
          <w:p>
            <w:pPr>
              <w:spacing w:after="100" w:before="100" w:line="283" w:lineRule="auto"/>
            </w:pPr>
            <w:r>
              <w:rPr>
                <w:b w:val="0"/>
                <w:sz w:val="18"/>
              </w:rPr>
              <w:t>需已比较两种模型、完成赢家的两种对照，随后才开启测试</w:t>
            </w:r>
          </w:p>
        </w:tc>
      </w:tr>
    </w:tbl>
    <w:p>
      <w:pPr>
        <w:spacing w:after="0"/>
      </w:pPr>
    </w:p>
    <w:p>
      <w:pPr>
        <w:jc w:val="both"/>
      </w:pPr>
      <w:r>
        <w:rPr>
          <w:b w:val="0"/>
        </w:rPr>
        <w:t>每轮规划返回工具名、参数和简短检验理由；执行器只接受白名单动作，不执行大模型生成的任意代码。验证反馈形成下一轮观察，低分或失败结果留在日志中。最终解读只读取已计算结果，不能回头修改本轮候选。这里的“自主”指受约束的实验选择，不代表脱离数据、预算和人为预登记目标。</w:t>
      </w:r>
    </w:p>
    <w:p>
      <w:pPr>
        <w:jc w:val="both"/>
      </w:pPr>
      <w:r>
        <w:rPr>
          <w:b w:val="0"/>
        </w:rPr>
        <w:t>预算分为实验、规划调用、输出长度和墙钟时间。真实大模型模式默认实验上限 B=8；候选与负对照均计入 B，至少预留 2 次反例核查。规划调用上限为 B+5，单次输出上限 800 tokens，单次请求超时 45 秒、规划循环约 240 秒；时间检查在调用前进行，正在进行的请求可能跨过循环时限，最多延后一个请求超时。记录服务返回的 token 用量，缺失时标为未知，不能伪报为零。可选最终解读另计 1 次调用、900 tokens 上限。连续 3 次非法规划后停止；未满足冻结条件就不读取测试集；服务失败不静默替换成规则结果。以上是演示预算，不是费用报价，也不是严格的全程 token 总额封顶。</w:t>
      </w:r>
    </w:p>
    <w:p>
      <w:pPr>
        <w:jc w:val="both"/>
      </w:pPr>
      <w:r>
        <w:rPr>
          <w:b w:val="0"/>
        </w:rPr>
        <w:t>无密钥模式用于开箱即用演示，按已观察最佳候选的相似性与覆盖选择下一项实验。效用 U=AP−0.5×Brier−0.2×ECE，仅用于展示取舍。启发式与随机策略各做 B 次候选拟合，固定负对照及最终复核另计；因此其“8 步”与大模型模式包含对照的“8 次实验”口径不同，不能直接比较成本。下一阶段效率研究应统一两种模式的总拟合数和服务调用成本。</w:t>
      </w:r>
    </w:p>
    <w:p>
      <w:pPr>
        <w:jc w:val="both"/>
      </w:pPr>
      <w:r>
        <w:rPr>
          <w:b w:val="0"/>
        </w:rPr>
        <w:t>任一评估分区阳性或阴性少于 10 条时显示 DEFER；这一数目是演示门控，不代表统计功效足够。真实数据还需在训练前核查来源、标签协议和变量发布时间。不满足条件时停止或缩小问题范围，而不是让语言模型补写缺失证据。</w:t>
      </w:r>
    </w:p>
    <w:p>
      <w:pPr>
        <w:pStyle w:val="Heading2"/>
        <w:jc w:val="left"/>
      </w:pPr>
      <w:r>
        <w:rPr>
          <w:b w:val="0"/>
        </w:rPr>
        <w:t>4.3 三段隔离与泄漏检查</w:t>
      </w:r>
    </w:p>
    <w:p>
      <w:pPr>
        <w:jc w:val="both"/>
      </w:pPr>
      <w:r>
        <w:rPr>
          <w:b w:val="0"/>
        </w:rPr>
        <w:t>训练样本使用礁区 01–08、预测起点日 90–360；内层验证使用礁区 09–10、日 435–525；封存测试使用礁区 11–12、日 600–690，每 3 天取一个预测起点。最大提前期为 30 天时，训练标签最晚至日 390；验证最早输入滞后可达日 405，两者保持时间间隔。验证标签最晚至日 555，测试最早候选输入为日 570。</w:t>
      </w:r>
    </w:p>
    <w:p>
      <w:pPr>
        <w:jc w:val="both"/>
      </w:pPr>
      <w:r>
        <w:rPr>
          <w:b w:val="0"/>
        </w:rPr>
        <w:t>标准化参数只由训练样本估计。测试集不进入候选排序，各模式锁定赢家后才计算测试指标。当前站点标签按分区隔离，但相邻站点在预测截止前已知的环境信息允许作为跨站输入；这不是“测试区域全部信息不可见”的强归纳设定。真实部署若不能获得邻区环境数据，需在同等信息约束下重新评估。</w:t>
      </w:r>
    </w:p>
    <w:p>
      <w:pPr>
        <w:jc w:val="both"/>
      </w:pPr>
      <w:r>
        <w:rPr>
          <w:b w:val="0"/>
        </w:rPr>
        <w:t>程序测试覆盖模型目录脱敏、服务协议、模拟大模型的工具闭环、拒绝非法规划及过早读取测试集，以及随机种子复现、不同提前期和候选的时间索引、指标的基本情形、预算与动作不重复、选择对已完成反馈的响应，以及篡改封存测试标签不影响探索轨迹。浏览器中的隔离属于程序流程约束，公开源码并不构成对人为查看合成测试标签的安全隔离；正式盲测应由独立评估进程保管标签。</w:t>
      </w:r>
    </w:p>
    <w:p>
      <w:pPr>
        <w:pStyle w:val="Heading1"/>
        <w:jc w:val="left"/>
      </w:pPr>
      <w:r>
        <w:rPr>
          <w:b w:val="0"/>
        </w:rPr>
        <w:t>五、什么结果才支持科学主张</w:t>
      </w:r>
    </w:p>
    <w:p>
      <w:pPr>
        <w:pStyle w:val="Heading2"/>
        <w:jc w:val="left"/>
      </w:pPr>
      <w:r>
        <w:rPr>
          <w:b w:val="0"/>
        </w:rPr>
        <w:t>5.1 基线与负对照</w:t>
      </w:r>
    </w:p>
    <w:p>
      <w:pPr>
        <w:jc w:val="both"/>
      </w:pPr>
      <w:r>
        <w:rPr>
          <w:b w:val="0"/>
        </w:rPr>
        <w:t>本版已执行的参照包括训练发生率、固定局地加性 Logistic、同预算随机搜索，以及预设“方向性/滞后 7 天/交互项”候选的正向、反向和输入额外提前 31 天对照。时间对照保持所有输入在预测起点以前，不作为完整置换显著性检验。方向对照固定注册，不能事后改用最有利的候选来展示。</w:t>
      </w:r>
    </w:p>
    <w:p>
      <w:pPr>
        <w:jc w:val="both"/>
      </w:pPr>
      <w:r>
        <w:rPr>
          <w:b w:val="0"/>
        </w:rPr>
        <w:t>真实数据验证需要补充季节气候态、可用时的状态持续性、局地 DHW/热暴露模型、局地与复合条件下的强树模型或其他合适模型。比较应匹配输入信息、模型容量、调参预算与外层划分。对照保留其功能：局地模型检验空间信息，反向和错时检验方向/时序特异性，随机搜索检验选择策略，不能相互替代。</w:t>
      </w:r>
    </w:p>
    <w:p>
      <w:pPr>
        <w:pStyle w:val="Heading2"/>
        <w:jc w:val="left"/>
      </w:pPr>
      <w:r>
        <w:rPr>
          <w:b w:val="0"/>
        </w:rPr>
        <w:t>5.2 评价与判定</w:t>
      </w:r>
    </w:p>
    <w:p>
      <w:pPr>
        <w:jc w:val="both"/>
      </w:pPr>
      <w:r>
        <w:rPr>
          <w:b w:val="0"/>
        </w:rPr>
        <w:t>排序使用 Average Precision（AP）；概率质量使用 Brier score、相对于训练发生率预测的 Brier skill 和分箱 ECE；监测用途报告固定 Top-20% 容量下的召回、选中条数与误报条数。AP 不与插值积分定义的 PR-AUC 混称；概率未做独立校准时，不将低 ECE 宣称为已完成区域校准。召回率的分母、容量取整规则和事件定义同时公开。</w:t>
      </w:r>
    </w:p>
    <w:p>
      <w:pPr>
        <w:jc w:val="both"/>
      </w:pPr>
      <w:r>
        <w:rPr>
          <w:b w:val="0"/>
        </w:rPr>
        <w:t>真实研究的主要检验可预登记为：候选相对最强匹配基线的 AP 增量在区域/事件块重采样下具有正的区间下界，Brier skill 为正，且固定容量收益不依赖单一来源。阈值需按先导数据、事件频率和可接受误报成本确定。原材料中无条件“提高 20%”的表述不作为当前验收承诺。若方向对照相当、区域外增益消失或标签校正改变结果，应收缩对应假设；事件不足则暂缓判断。</w:t>
      </w:r>
    </w:p>
    <w:p>
      <w:pPr>
        <w:jc w:val="both"/>
      </w:pPr>
      <w:r>
        <w:rPr>
          <w:b w:val="0"/>
        </w:rPr>
        <w:t>重复日期与同一热浪事件不能当作独立重复。正式研究应按礁区与完整事件块估计不确定性，保留嵌套选择与多候选比较影响。当前 Demo 给出描述性分数，没有输出置信区间或宣称统计显著。白化持续时间、恢复率和死亡率需要各自的样本定义与验证集，不能从本版 AP 派生。</w:t>
      </w:r>
    </w:p>
    <w:p>
      <w:pPr>
        <w:pStyle w:val="Heading1"/>
        <w:jc w:val="left"/>
      </w:pPr>
      <w:r>
        <w:rPr>
          <w:b w:val="0"/>
        </w:rPr>
        <w:t>六、当前 Demo 的可复现结果与展示范围</w:t>
      </w:r>
    </w:p>
    <w:p>
      <w:pPr>
        <w:pStyle w:val="Heading2"/>
        <w:jc w:val="left"/>
      </w:pPr>
      <w:r>
        <w:rPr>
          <w:b w:val="0"/>
        </w:rPr>
        <w:t>6.1 固定配置的实际运行</w:t>
      </w:r>
    </w:p>
    <w:p>
      <w:pPr>
        <w:jc w:val="both"/>
      </w:pPr>
      <w:r>
        <w:rPr>
          <w:b w:val="0"/>
        </w:rPr>
        <w:t>2026 年 10 月 18 日运行的默认配置为种子 42、H=14 天、每种启发式/随机策略 8 步。这是无密钥规则模式的运行，不是大模型实验成绩。内层验证选择“方向性连接、L=7 天、加性 Logistic”；封存测试共 62 个礁区—日期样本，其中 23 个合成阳性。以下分数来自本版程序执行，不沿用 GlobalHAB 或附件旧原型的成绩。</w:t>
      </w:r>
    </w:p>
    <w:tbl>
      <w:tblPr>
        <w:tblStyle w:val="TableGrid"/>
        <w:tblW w:type="auto" w:w="0"/>
        <w:tblLayout w:type="fixed"/>
        <w:tblLook w:firstColumn="1" w:firstRow="1" w:lastColumn="0" w:lastRow="0" w:noHBand="0" w:noVBand="1" w:val="04A0"/>
      </w:tblPr>
      <w:tblGrid>
        <w:gridCol w:w="1882"/>
        <w:gridCol w:w="1882"/>
        <w:gridCol w:w="1882"/>
        <w:gridCol w:w="1882"/>
        <w:gridCol w:w="1882"/>
      </w:tblGrid>
      <w:tr>
        <w:trPr>
          <w:cantSplit/>
          <w:tblHeader/>
        </w:trPr>
        <w:tc>
          <w:tcPr>
            <w:tcW w:type="dxa" w:w="1882"/>
            <w:shd w:fill="E1EEEB"/>
          </w:tcPr>
          <w:p>
            <w:pPr>
              <w:spacing w:after="100" w:before="100" w:line="283" w:lineRule="auto"/>
            </w:pPr>
            <w:r>
              <w:rPr>
                <w:b/>
                <w:sz w:val="18"/>
              </w:rPr>
              <w:t>方法</w:t>
            </w:r>
          </w:p>
        </w:tc>
        <w:tc>
          <w:tcPr>
            <w:tcW w:type="dxa" w:w="1882"/>
            <w:shd w:fill="E1EEEB"/>
          </w:tcPr>
          <w:p>
            <w:pPr>
              <w:spacing w:after="100" w:before="100" w:line="283" w:lineRule="auto"/>
            </w:pPr>
            <w:r>
              <w:rPr>
                <w:b/>
                <w:sz w:val="18"/>
              </w:rPr>
              <w:t>测试 AP</w:t>
            </w:r>
          </w:p>
        </w:tc>
        <w:tc>
          <w:tcPr>
            <w:tcW w:type="dxa" w:w="1882"/>
            <w:shd w:fill="E1EEEB"/>
          </w:tcPr>
          <w:p>
            <w:pPr>
              <w:spacing w:after="100" w:before="100" w:line="283" w:lineRule="auto"/>
            </w:pPr>
            <w:r>
              <w:rPr>
                <w:b/>
                <w:sz w:val="18"/>
              </w:rPr>
              <w:t>Brier</w:t>
            </w:r>
          </w:p>
        </w:tc>
        <w:tc>
          <w:tcPr>
            <w:tcW w:type="dxa" w:w="1882"/>
            <w:shd w:fill="E1EEEB"/>
          </w:tcPr>
          <w:p>
            <w:pPr>
              <w:spacing w:after="100" w:before="100" w:line="283" w:lineRule="auto"/>
            </w:pPr>
            <w:r>
              <w:rPr>
                <w:b/>
                <w:sz w:val="18"/>
              </w:rPr>
              <w:t>Brier skill</w:t>
            </w:r>
          </w:p>
        </w:tc>
        <w:tc>
          <w:tcPr>
            <w:tcW w:type="dxa" w:w="1882"/>
            <w:shd w:fill="E1EEEB"/>
          </w:tcPr>
          <w:p>
            <w:pPr>
              <w:spacing w:after="100" w:before="100" w:line="283" w:lineRule="auto"/>
            </w:pPr>
            <w:r>
              <w:rPr>
                <w:b/>
                <w:sz w:val="18"/>
              </w:rPr>
              <w:t>Top-20% 召回</w:t>
            </w:r>
          </w:p>
        </w:tc>
      </w:tr>
      <w:tr>
        <w:trPr>
          <w:cantSplit/>
        </w:trPr>
        <w:tc>
          <w:tcPr>
            <w:tcW w:type="dxa" w:w="1882"/>
          </w:tcPr>
          <w:p>
            <w:pPr>
              <w:spacing w:after="100" w:before="100" w:line="283" w:lineRule="auto"/>
            </w:pPr>
            <w:r>
              <w:rPr>
                <w:b w:val="0"/>
                <w:sz w:val="18"/>
              </w:rPr>
              <w:t>自适应选择</w:t>
            </w:r>
          </w:p>
        </w:tc>
        <w:tc>
          <w:tcPr>
            <w:tcW w:type="dxa" w:w="1882"/>
          </w:tcPr>
          <w:p>
            <w:pPr>
              <w:spacing w:after="100" w:before="100" w:line="283" w:lineRule="auto"/>
            </w:pPr>
            <w:r>
              <w:rPr>
                <w:b w:val="0"/>
                <w:sz w:val="18"/>
              </w:rPr>
              <w:t>0.621</w:t>
            </w:r>
          </w:p>
        </w:tc>
        <w:tc>
          <w:tcPr>
            <w:tcW w:type="dxa" w:w="1882"/>
          </w:tcPr>
          <w:p>
            <w:pPr>
              <w:spacing w:after="100" w:before="100" w:line="283" w:lineRule="auto"/>
            </w:pPr>
            <w:r>
              <w:rPr>
                <w:b w:val="0"/>
                <w:sz w:val="18"/>
              </w:rPr>
              <w:t>0.206</w:t>
            </w:r>
          </w:p>
        </w:tc>
        <w:tc>
          <w:tcPr>
            <w:tcW w:type="dxa" w:w="1882"/>
          </w:tcPr>
          <w:p>
            <w:pPr>
              <w:spacing w:after="100" w:before="100" w:line="283" w:lineRule="auto"/>
            </w:pPr>
            <w:r>
              <w:rPr>
                <w:b w:val="0"/>
                <w:sz w:val="18"/>
              </w:rPr>
              <w:t>0.139</w:t>
            </w:r>
          </w:p>
        </w:tc>
        <w:tc>
          <w:tcPr>
            <w:tcW w:type="dxa" w:w="1882"/>
          </w:tcPr>
          <w:p>
            <w:pPr>
              <w:spacing w:after="100" w:before="100" w:line="283" w:lineRule="auto"/>
            </w:pPr>
            <w:r>
              <w:rPr>
                <w:b w:val="0"/>
                <w:sz w:val="18"/>
              </w:rPr>
              <w:t>39.1%</w:t>
            </w:r>
          </w:p>
        </w:tc>
      </w:tr>
      <w:tr>
        <w:trPr>
          <w:cantSplit/>
        </w:trPr>
        <w:tc>
          <w:tcPr>
            <w:tcW w:type="dxa" w:w="1882"/>
          </w:tcPr>
          <w:p>
            <w:pPr>
              <w:spacing w:after="100" w:before="100" w:line="283" w:lineRule="auto"/>
            </w:pPr>
            <w:r>
              <w:rPr>
                <w:b w:val="0"/>
                <w:sz w:val="18"/>
              </w:rPr>
              <w:t>同预算随机搜索</w:t>
            </w:r>
          </w:p>
        </w:tc>
        <w:tc>
          <w:tcPr>
            <w:tcW w:type="dxa" w:w="1882"/>
          </w:tcPr>
          <w:p>
            <w:pPr>
              <w:spacing w:after="100" w:before="100" w:line="283" w:lineRule="auto"/>
            </w:pPr>
            <w:r>
              <w:rPr>
                <w:b w:val="0"/>
                <w:sz w:val="18"/>
              </w:rPr>
              <w:t>0.340</w:t>
            </w:r>
          </w:p>
        </w:tc>
        <w:tc>
          <w:tcPr>
            <w:tcW w:type="dxa" w:w="1882"/>
          </w:tcPr>
          <w:p>
            <w:pPr>
              <w:spacing w:after="100" w:before="100" w:line="283" w:lineRule="auto"/>
            </w:pPr>
            <w:r>
              <w:rPr>
                <w:b w:val="0"/>
                <w:sz w:val="18"/>
              </w:rPr>
              <w:t>0.259</w:t>
            </w:r>
          </w:p>
        </w:tc>
        <w:tc>
          <w:tcPr>
            <w:tcW w:type="dxa" w:w="1882"/>
          </w:tcPr>
          <w:p>
            <w:pPr>
              <w:spacing w:after="100" w:before="100" w:line="283" w:lineRule="auto"/>
            </w:pPr>
            <w:r>
              <w:rPr>
                <w:b w:val="0"/>
                <w:sz w:val="18"/>
              </w:rPr>
              <w:t>−0.083</w:t>
            </w:r>
          </w:p>
        </w:tc>
        <w:tc>
          <w:tcPr>
            <w:tcW w:type="dxa" w:w="1882"/>
          </w:tcPr>
          <w:p>
            <w:pPr>
              <w:spacing w:after="100" w:before="100" w:line="283" w:lineRule="auto"/>
            </w:pPr>
            <w:r>
              <w:rPr>
                <w:b w:val="0"/>
                <w:sz w:val="18"/>
              </w:rPr>
              <w:t>17.4%</w:t>
            </w:r>
          </w:p>
        </w:tc>
      </w:tr>
      <w:tr>
        <w:trPr>
          <w:cantSplit/>
        </w:trPr>
        <w:tc>
          <w:tcPr>
            <w:tcW w:type="dxa" w:w="1882"/>
          </w:tcPr>
          <w:p>
            <w:pPr>
              <w:spacing w:after="100" w:before="100" w:line="283" w:lineRule="auto"/>
            </w:pPr>
            <w:r>
              <w:rPr>
                <w:b w:val="0"/>
                <w:sz w:val="18"/>
              </w:rPr>
              <w:t>固定局地基线</w:t>
            </w:r>
          </w:p>
        </w:tc>
        <w:tc>
          <w:tcPr>
            <w:tcW w:type="dxa" w:w="1882"/>
          </w:tcPr>
          <w:p>
            <w:pPr>
              <w:spacing w:after="100" w:before="100" w:line="283" w:lineRule="auto"/>
            </w:pPr>
            <w:r>
              <w:rPr>
                <w:b w:val="0"/>
                <w:sz w:val="18"/>
              </w:rPr>
              <w:t>0.596</w:t>
            </w:r>
          </w:p>
        </w:tc>
        <w:tc>
          <w:tcPr>
            <w:tcW w:type="dxa" w:w="1882"/>
          </w:tcPr>
          <w:p>
            <w:pPr>
              <w:spacing w:after="100" w:before="100" w:line="283" w:lineRule="auto"/>
            </w:pPr>
            <w:r>
              <w:rPr>
                <w:b w:val="0"/>
                <w:sz w:val="18"/>
              </w:rPr>
              <w:t>0.234</w:t>
            </w:r>
          </w:p>
        </w:tc>
        <w:tc>
          <w:tcPr>
            <w:tcW w:type="dxa" w:w="1882"/>
          </w:tcPr>
          <w:p>
            <w:pPr>
              <w:spacing w:after="100" w:before="100" w:line="283" w:lineRule="auto"/>
            </w:pPr>
            <w:r>
              <w:rPr>
                <w:b w:val="0"/>
                <w:sz w:val="18"/>
              </w:rPr>
              <w:t>0.022</w:t>
            </w:r>
          </w:p>
        </w:tc>
        <w:tc>
          <w:tcPr>
            <w:tcW w:type="dxa" w:w="1882"/>
          </w:tcPr>
          <w:p>
            <w:pPr>
              <w:spacing w:after="100" w:before="100" w:line="283" w:lineRule="auto"/>
            </w:pPr>
            <w:r>
              <w:rPr>
                <w:b w:val="0"/>
                <w:sz w:val="18"/>
              </w:rPr>
              <w:t>39.1%</w:t>
            </w:r>
          </w:p>
        </w:tc>
      </w:tr>
      <w:tr>
        <w:trPr>
          <w:cantSplit/>
        </w:trPr>
        <w:tc>
          <w:tcPr>
            <w:tcW w:type="dxa" w:w="1882"/>
          </w:tcPr>
          <w:p>
            <w:pPr>
              <w:spacing w:after="100" w:before="100" w:line="283" w:lineRule="auto"/>
            </w:pPr>
            <w:r>
              <w:rPr>
                <w:b w:val="0"/>
                <w:sz w:val="18"/>
              </w:rPr>
              <w:t>训练发生率参照</w:t>
            </w:r>
          </w:p>
        </w:tc>
        <w:tc>
          <w:tcPr>
            <w:tcW w:type="dxa" w:w="1882"/>
          </w:tcPr>
          <w:p>
            <w:pPr>
              <w:spacing w:after="100" w:before="100" w:line="283" w:lineRule="auto"/>
            </w:pPr>
            <w:r>
              <w:rPr>
                <w:b w:val="0"/>
                <w:sz w:val="18"/>
              </w:rPr>
              <w:t>0.371</w:t>
            </w:r>
          </w:p>
        </w:tc>
        <w:tc>
          <w:tcPr>
            <w:tcW w:type="dxa" w:w="1882"/>
          </w:tcPr>
          <w:p>
            <w:pPr>
              <w:spacing w:after="100" w:before="100" w:line="283" w:lineRule="auto"/>
            </w:pPr>
            <w:r>
              <w:rPr>
                <w:b w:val="0"/>
                <w:sz w:val="18"/>
              </w:rPr>
              <w:t>0.239</w:t>
            </w:r>
          </w:p>
        </w:tc>
        <w:tc>
          <w:tcPr>
            <w:tcW w:type="dxa" w:w="1882"/>
          </w:tcPr>
          <w:p>
            <w:pPr>
              <w:spacing w:after="100" w:before="100" w:line="283" w:lineRule="auto"/>
            </w:pPr>
            <w:r>
              <w:rPr>
                <w:b w:val="0"/>
                <w:sz w:val="18"/>
              </w:rPr>
              <w:t>0.000</w:t>
            </w:r>
          </w:p>
        </w:tc>
        <w:tc>
          <w:tcPr>
            <w:tcW w:type="dxa" w:w="1882"/>
          </w:tcPr>
          <w:p>
            <w:pPr>
              <w:spacing w:after="100" w:before="100" w:line="283" w:lineRule="auto"/>
            </w:pPr>
            <w:r>
              <w:rPr>
                <w:b w:val="0"/>
                <w:sz w:val="18"/>
              </w:rPr>
              <w:t>17.4%</w:t>
            </w:r>
          </w:p>
        </w:tc>
      </w:tr>
    </w:tbl>
    <w:p>
      <w:pPr>
        <w:spacing w:after="0"/>
      </w:pPr>
    </w:p>
    <w:p>
      <w:pPr>
        <w:jc w:val="both"/>
      </w:pPr>
      <w:r>
        <w:rPr>
          <w:b w:val="0"/>
        </w:rPr>
        <w:t>自适应候选相对局地基线的 AP 增量为 0.0255；两者在 Top-20% 容量下都选中 13 条、命中 9 条并产生 4 条误报。因此该次运行呈现排序和概率分数差异，没有显示固定调查容量下的额外覆盖收益。常数概率的 Top-k 并列按稳定索引打破，其召回不具有策略含义。</w:t>
      </w:r>
    </w:p>
    <w:p>
      <w:pPr>
        <w:jc w:val="both"/>
      </w:pPr>
      <w:r>
        <w:rPr>
          <w:b w:val="0"/>
        </w:rPr>
        <w:t>固定方向候选的正向、反向、错时测试 AP 分别为 0.621、0.528、0.607。错时分数接近正向结果，提示生成序列的时间持续性仍可提供信息；这些结果不能用于证明真实方向机制或精确识别隐藏延迟。</w:t>
      </w:r>
    </w:p>
    <w:p>
      <w:r>
        <w:drawing>
          <wp:inline xmlns:a="http://schemas.openxmlformats.org/drawingml/2006/main" xmlns:pic="http://schemas.openxmlformats.org/drawingml/2006/picture">
            <wp:extent cx="5903999" cy="2027636"/>
            <wp:docPr id="3" name="Picture 3"/>
            <wp:cNvGraphicFramePr>
              <a:graphicFrameLocks noChangeAspect="1"/>
            </wp:cNvGraphicFramePr>
            <a:graphic>
              <a:graphicData uri="http://schemas.openxmlformats.org/drawingml/2006/picture">
                <pic:pic>
                  <pic:nvPicPr>
                    <pic:cNvPr id="0" name="benchmark.png"/>
                    <pic:cNvPicPr/>
                  </pic:nvPicPr>
                  <pic:blipFill>
                    <a:blip r:embed="rId12"/>
                    <a:stretch>
                      <a:fillRect/>
                    </a:stretch>
                  </pic:blipFill>
                  <pic:spPr>
                    <a:xfrm>
                      <a:off x="0" y="0"/>
                      <a:ext cx="5903999" cy="2027636"/>
                    </a:xfrm>
                    <a:prstGeom prst="rect"/>
                  </pic:spPr>
                </pic:pic>
              </a:graphicData>
            </a:graphic>
          </wp:inline>
        </w:drawing>
      </w:r>
    </w:p>
    <w:p>
      <w:pPr>
        <w:pStyle w:val="Caption"/>
        <w:jc w:val="left"/>
      </w:pPr>
      <w:r>
        <w:rPr>
          <w:b w:val="0"/>
        </w:rPr>
        <w:t>图 2 默认合成运行（种子42，H=14，候选预算8）。左：已完成实验的最佳验证效用；右：锁定候选后的测试AP。规则模式结果，不是大模型实测成绩。</w:t>
      </w:r>
    </w:p>
    <w:p>
      <w:pPr>
        <w:pStyle w:val="Heading2"/>
        <w:jc w:val="left"/>
      </w:pPr>
      <w:r>
        <w:rPr>
          <w:b w:val="0"/>
        </w:rPr>
        <w:t>6.2 多种子比较限定效率主张</w:t>
      </w:r>
    </w:p>
    <w:p>
      <w:pPr>
        <w:jc w:val="both"/>
      </w:pPr>
      <w:r>
        <w:rPr>
          <w:b w:val="0"/>
        </w:rPr>
        <w:t>在种子 1–20、相同 H=14 天和 8 步预算下，自适应、随机和局地模型的平均测试 AP 分别为 0.542、0.585、0.417。自适应在 5/20 次运行中超过随机搜索，在 17/20 次中超过局地基线。3 次运行触发小样本 DEFER；上述均值保留全部运行，用于描述软件行为，不将其作为通过门控的统计估计。</w:t>
      </w:r>
    </w:p>
    <w:p>
      <w:pPr>
        <w:jc w:val="both"/>
      </w:pPr>
      <w:r>
        <w:rPr>
          <w:b w:val="0"/>
        </w:rPr>
        <w:t>这组结果支持当前系统已完成反馈选择和对照评估，也表明现有启发式尚未建立相对随机搜索的效率优势。H5 因此保留为待检验问题。后续策略改动应在新的封存生成条件和真实数据上评价，不能反复利用本组测试分数调优后继续称其为盲测。</w:t>
      </w:r>
    </w:p>
    <w:p>
      <w:pPr>
        <w:pStyle w:val="Heading2"/>
        <w:jc w:val="left"/>
      </w:pPr>
      <w:r>
        <w:rPr>
          <w:b w:val="0"/>
        </w:rPr>
        <w:t>6.3 网站可演示的内容</w:t>
      </w:r>
    </w:p>
    <w:p>
      <w:pPr>
        <w:jc w:val="both"/>
      </w:pPr>
      <w:r>
        <w:rPr>
          <w:b w:val="0"/>
        </w:rPr>
        <w:t>全球风险页使用真实的 Natural Earth 陆地轮廓，显示 12 个地理演示锚点；数值、调查、事件报告与随访记录均为合成内容。首页的 0–100 风险量由公开的情景公式生成，与实验室拟合概率分别计算。切换提前期、海盆、证据图层和站点，调整热压力、光照或交换条件，均不会把缺失白化证据改写成确认事件。</w:t>
      </w:r>
    </w:p>
    <w:p>
      <w:pPr>
        <w:jc w:val="both"/>
      </w:pPr>
      <w:r>
        <w:rPr>
          <w:b w:val="0"/>
        </w:rPr>
        <w:t>实验室页面运行 24 候选空间中的预算探索。规则模式返回完整轨迹、预算—最佳效用曲线、随机参照、封存测试与发现卡。真实大模型模式提供研究问题输入、模型目录、真实连接检查、工具行动时间线、实验计数和冻结后的独立评估；需通过工程服务端配置密钥，静态托管不执行服务端模型调用。当前通过的是协议和模拟服务测试；未提供用户密钥，尚未完成远程模型实测。两类结果均可导出 JSON。站点卡、优先清单与简报可分别导出。地图不表示全球礁区完整覆盖；没有接入实时 NOAA 数据、真实白化照片识别、酸化/风暴过程模型或死亡预测器。生态后果页只用独立的模拟随访案例说明所需证据。</w:t>
      </w:r>
    </w:p>
    <w:p>
      <w:pPr>
        <w:pStyle w:val="Heading1"/>
        <w:jc w:val="left"/>
      </w:pPr>
      <w:r>
        <w:rPr>
          <w:b w:val="0"/>
        </w:rPr>
        <w:t>七、从 GlobalHAB-Agent 到珊瑚版本</w:t>
      </w:r>
    </w:p>
    <w:p>
      <w:pPr>
        <w:jc w:val="both"/>
      </w:pPr>
      <w:r>
        <w:rPr>
          <w:b w:val="0"/>
        </w:rPr>
        <w:t xml:space="preserve">已核查原仓库的 </w:t>
      </w:r>
      <w:r>
        <w:rPr>
          <w:b w:val="0"/>
        </w:rPr>
        <w:t>agent.py</w:t>
      </w:r>
      <w:r>
        <w:rPr>
          <w:b w:val="0"/>
        </w:rPr>
        <w:t>、</w:t>
      </w:r>
      <w:r>
        <w:rPr>
          <w:b w:val="0"/>
        </w:rPr>
        <w:t>scientific_agent.py</w:t>
      </w:r>
      <w:r>
        <w:rPr>
          <w:b w:val="0"/>
        </w:rPr>
        <w:t>、</w:t>
      </w:r>
      <w:r>
        <w:rPr>
          <w:b w:val="0"/>
        </w:rPr>
        <w:t>platform_models.py</w:t>
      </w:r>
      <w:r>
        <w:rPr>
          <w:b w:val="0"/>
        </w:rPr>
        <w:t xml:space="preserve"> 和 </w:t>
      </w:r>
      <w:r>
        <w:rPr>
          <w:b w:val="0"/>
        </w:rPr>
        <w:t>real_training/remote_qwen.py</w:t>
      </w:r>
      <w:r>
        <w:rPr>
          <w:b w:val="0"/>
        </w:rPr>
        <w:t>。前两者分别提供启发式与语言模型工具规划参考；后两者提供模型目录及 Chat Completions 调用方式。[6] 珊瑚版本复用其服务端密钥、连接检查、可见最终回答读取、非思考参数和失败显式呈现的约定；兼容 platform_models、qwen、modelscope 配置及 HAB_QWEN 环境变量。数值模型与界面改写为浏览器模块，服务适配层使用 Node.js。原仓库许可证声明随工程保留，迁移说明记录对应模块与变化。</w:t>
      </w:r>
    </w:p>
    <w:p>
      <w:pPr>
        <w:jc w:val="both"/>
      </w:pPr>
      <w:r>
        <w:rPr>
          <w:b w:val="0"/>
        </w:rPr>
        <w:t>迁移时重新定义四项内容：以白化调查替代藻种/毒素终点；以热压力和生态背景替代 HAB 的营养/水华目标；以环境先行信号替代“白化本身传播”的解释；以调查、复查和随访优先级替代养殖处置建议。原项目中的真实藻华结果、速度比较和经济收益不会成为珊瑚任务的证据。</w:t>
      </w:r>
    </w:p>
    <w:p>
      <w:pPr>
        <w:jc w:val="both"/>
      </w:pPr>
      <w:r>
        <w:rPr>
          <w:b w:val="0"/>
        </w:rPr>
        <w:t>下一阶段先用实际服务端密钥完成远程大模型闭环及成本记录，再完成一个区域的标签审计和时间可获得性表，再接入环境数据与独立调查。第二阶段固定目标和评价协议，增加匹配的强基线、校准集、事件块区间与区域外留出。第三阶段在相同预算下比较搜索策略，并通过独立流场或原位记录核查方向假设。只有具备重复随访后，才新增持续、恢复与死亡任务。</w:t>
      </w:r>
    </w:p>
    <w:p>
      <w:pPr>
        <w:jc w:val="both"/>
      </w:pPr>
      <w:r>
        <w:rPr>
          <w:b w:val="0"/>
        </w:rPr>
        <w:t>开源交付包括网页、数据生成器、模型与指标、实验策略、测试、默认及多种子运行记录、输入模板、来源与许可说明、部署工作流和本科学问题定义。仓库不需要 API 密钥即可运行。真实数据接入将按各来源许可单独管理；受限原始数据仅记录获取方式，不随演示工程分发。</w:t>
      </w:r>
    </w:p>
    <w:p>
      <w:pPr>
        <w:pStyle w:val="Heading1"/>
        <w:jc w:val="left"/>
      </w:pPr>
      <w:r>
        <w:rPr>
          <w:b w:val="0"/>
        </w:rPr>
        <w:t>参考资料</w:t>
      </w:r>
    </w:p>
    <w:p>
      <w:pPr>
        <w:spacing w:line="264" w:lineRule="auto" w:after="120"/>
        <w:jc w:val="left"/>
      </w:pPr>
      <w:r>
        <w:rPr>
          <w:b w:val="0"/>
          <w:sz w:val="18"/>
        </w:rPr>
        <w:t>[1] NOAA National Ocean Service. What is coral bleaching? https://oceanservice.noaa.gov/facts/coral_bleach.html 。用于白化与死亡/恢复的概念区分。</w:t>
      </w:r>
    </w:p>
    <w:p>
      <w:pPr>
        <w:spacing w:line="264" w:lineRule="auto" w:after="120"/>
        <w:jc w:val="left"/>
      </w:pPr>
      <w:r>
        <w:rPr>
          <w:b w:val="0"/>
          <w:sz w:val="18"/>
        </w:rPr>
        <w:t>[2] NOAA Coral Reef Watch. Daily Global 5 km Satellite Coral Bleaching Heat Stress Degree Heating Week, Version 3.1. https://coralreefwatch.noaa.gov/product/5km/index_5km_dhw.php 。用于 DHW 的环境暴露属性与产品入口。</w:t>
      </w:r>
    </w:p>
    <w:p>
      <w:pPr>
        <w:spacing w:line="264" w:lineRule="auto" w:after="120"/>
        <w:jc w:val="left"/>
      </w:pPr>
      <w:r>
        <w:rPr>
          <w:b w:val="0"/>
          <w:sz w:val="18"/>
        </w:rPr>
        <w:t>[3] Sully, S., Burkepile, D. E., Donovan, M. K., Hodgson, G. &amp; van Woesik, R. A global analysis of coral bleaching over the past two decades. Nature Communications 10, 1264 (2019). https://doi.org/10.1038/s41467-019-09238-2 。用于热暴露与白化响应的空间差异背景。</w:t>
      </w:r>
    </w:p>
    <w:p>
      <w:pPr>
        <w:spacing w:line="264" w:lineRule="auto" w:after="120"/>
        <w:jc w:val="left"/>
      </w:pPr>
      <w:r>
        <w:rPr>
          <w:b w:val="0"/>
          <w:sz w:val="18"/>
        </w:rPr>
        <w:t>[4] van Woesik, R. &amp; Kratochwill, C. A global coral-bleaching database, 1980–2020. Scientific Data 9, 20 (2022). https://doi.org/10.1038/s41597-022-01121-y 。用于真实调查标签和数据库组织。</w:t>
      </w:r>
    </w:p>
    <w:p>
      <w:pPr>
        <w:spacing w:line="264" w:lineRule="auto" w:after="120"/>
        <w:jc w:val="left"/>
      </w:pPr>
      <w:r>
        <w:rPr>
          <w:b w:val="0"/>
          <w:sz w:val="18"/>
        </w:rPr>
        <w:t>[5] van Woesik, R. &amp; Kratochwill, C. A global database on coral recovery following marine heatwaves. Scientific Data 11, 367 (2024). https://doi.org/10.1038/s41597-024-03221-3 。用于恢复研究的独立数据入口。</w:t>
      </w:r>
    </w:p>
    <w:p>
      <w:pPr>
        <w:spacing w:line="264" w:lineRule="auto" w:after="120"/>
        <w:jc w:val="left"/>
      </w:pPr>
      <w:r>
        <w:rPr>
          <w:b w:val="0"/>
          <w:sz w:val="18"/>
        </w:rPr>
        <w:t>[6] Haoliu9427. GlobalHAB-Agent-demo. https://github.com/Haoliu9427/GlobalHAB-Agent-demo 。本版核查 agent.py、scientific_agent.py、platform_models.py、remote_qwen.py、配置指南、DATA_DICTIONARY.md 与 LICENSE；作为工程迁移来源，不作为珊瑚预测性能证据。</w:t>
      </w:r>
    </w:p>
    <w:p>
      <w:pPr>
        <w:spacing w:line="264" w:lineRule="auto" w:after="120"/>
        <w:jc w:val="left"/>
      </w:pPr>
      <w:r>
        <w:rPr>
          <w:b w:val="0"/>
          <w:sz w:val="18"/>
        </w:rPr>
        <w:t>[7] Natural Earth. Terms of Use. https://www.naturalearthdata.com/about/terms-of-use/ 。地图陆地数据为公共领域；展示不含行政边界。地图数据：https://github.com/nvkelso/natural-earth-vector/blob/master/geojson/ne_110m_land.geojson。</w:t>
      </w:r>
    </w:p>
    <w:p>
      <w:pPr>
        <w:spacing w:line="264" w:lineRule="auto" w:after="120"/>
        <w:jc w:val="left"/>
      </w:pPr>
      <w:r>
        <w:rPr>
          <w:b w:val="0"/>
          <w:sz w:val="18"/>
        </w:rPr>
        <w:t>资料核查日期：2026 年 10 月 18 日。网页和文献仅承担各自标注的论证职责；本版数值结果来自随工程保存的合成运行记录。</w:t>
      </w:r>
    </w:p>
    <w:sectPr w:rsidR="00FC693F" w:rsidRPr="0006063C" w:rsidSect="00034616">
      <w:headerReference w:type="default" r:id="rId9"/>
      <w:footerReference w:type="default" r:id="rId10"/>
      <w:pgSz w:w="11906" w:h="16838"/>
      <w:pgMar w:top="1134"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合成环境 · 研究定义 v1.0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79939A"/>
        <w:sz w:val="16"/>
      </w:rPr>
      <w:t>CORALBLEACH-AGENT   /   SCIENTIFIC PROBLEM DEFINITION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40"/>
    </w:pPr>
    <w:rPr>
      <w:rFonts w:ascii="Microsoft YaHei" w:hAnsi="Microsoft YaHei" w:eastAsia="Microsoft YaHei"/>
      <w:color w:val="243F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Microsoft YaHei" w:hAnsi="Microsoft YaHei" w:eastAsia="Microsoft YaHei"/>
      <w:b/>
      <w:bCs/>
      <w:color w:val="146F6A"/>
      <w:sz w:val="32"/>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Microsoft YaHei" w:hAnsi="Microsoft YaHei" w:eastAsia="Microsoft YaHei"/>
      <w:b/>
      <w:bCs/>
      <w:color w:val="146F6A"/>
      <w:sz w:val="24"/>
      <w:szCs w:val="26"/>
    </w:rPr>
  </w:style>
  <w:style w:type="paragraph" w:styleId="Heading3">
    <w:name w:val="heading 3"/>
    <w:basedOn w:val="Normal"/>
    <w:next w:val="Normal"/>
    <w:link w:val="Heading3Char"/>
    <w:uiPriority w:val="9"/>
    <w:unhideWhenUsed/>
    <w:qFormat/>
    <w:rsid w:val="00FC693F"/>
    <w:pPr>
      <w:keepNext/>
      <w:keepLines/>
      <w:spacing w:before="300" w:after="140"/>
      <w:outlineLvl w:val="2"/>
    </w:pPr>
    <w:rPr>
      <w:rFonts w:asciiTheme="majorHAnsi" w:eastAsiaTheme="majorEastAsia" w:hAnsiTheme="majorHAnsi" w:cstheme="majorBidi" w:ascii="Microsoft YaHei" w:hAnsi="Microsoft YaHei" w:eastAsia="Microsoft YaHei"/>
      <w:b/>
      <w:bCs/>
      <w:color w:val="146F6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Microsoft YaHei" w:hAnsi="Microsoft YaHe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icrosoft YaHei" w:hAnsi="Microsoft YaHei" w:eastAsia="Microsoft YaHei"/>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CoralBleach-Agent 科学问题定义与最小验证方案</dc:title>
  <dc:subject>全球珊瑚白化预测预警与科学发现</dc:subject>
  <dc:creator>CoralBleach-Agent</dc:creator>
  <cp:keywords>coral bleaching, synthetic demo, scientific agent</cp:keywords>
  <dc:description>generated by python-docx</dc:description>
  <cp:lastModifiedBy/>
  <cp:revision>1</cp:revision>
  <dcterms:created xsi:type="dcterms:W3CDTF">2013-12-23T23:15:00Z</dcterms:created>
  <dcterms:modified xsi:type="dcterms:W3CDTF">2013-12-23T23:15:00Z</dcterms:modified>
  <cp:category/>
</cp:coreProperties>
</file>