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color w:val="000000"/>
          <w:u w:val="none"/>
        </w:rPr>
        <w:t>RESEARCH DEFINITION / 2026</w:t>
      </w:r>
    </w:p>
    <w:p>
      <w:pPr>
        <w:pStyle w:val="Title"/>
      </w:pPr>
      <w:r>
        <w:rPr>
          <w:color w:val="000000"/>
          <w:u w:val="none"/>
        </w:rPr>
        <w:t>CoralBleach-Agent</w:t>
      </w:r>
    </w:p>
    <w:p>
      <w:pPr>
        <w:spacing w:before="240"/>
      </w:pPr>
      <w:r>
        <w:rPr>
          <w:b/>
          <w:color w:val="000000"/>
          <w:sz w:val="44"/>
          <w:u w:val="none"/>
        </w:rPr>
        <w:t>面向复杂环境扰动的</w:t>
        <w:br/>
        <w:t>全球珊瑚白化预测预警</w:t>
        <w:br/>
        <w:t>与科学发现智能体</w:t>
      </w:r>
    </w:p>
    <w:p>
      <w:pPr>
        <w:pStyle w:val="Subtitle"/>
        <w:jc w:val="left"/>
      </w:pPr>
      <w:r>
        <w:rPr>
          <w:b w:val="0"/>
          <w:color w:val="000000"/>
          <w:u w:val="none"/>
        </w:rPr>
        <w:t>科学问题定义与最小验证方案</w:t>
      </w:r>
    </w:p>
    <w:p>
      <w:pPr>
        <w:spacing w:before="240"/>
        <w:jc w:val="both"/>
      </w:pPr>
      <w:r>
        <w:rPr>
          <w:b w:val="0"/>
          <w:sz w:val="30"/>
        </w:rPr>
        <w:t>环境风险  →  白化证据  →  生态后果</w:t>
      </w:r>
    </w:p>
    <w:p>
      <w:pPr>
        <w:jc w:val="both"/>
      </w:pPr>
      <w:r>
        <w:rPr>
          <w:b w:val="0"/>
        </w:rPr>
        <w:t>大模型诊断场景，科学模型执行计算，独立评估约束结论。</w:t>
      </w:r>
    </w:p>
    <w:p>
      <w:pPr>
        <w:keepNext/>
      </w:pPr>
      <w:r>
        <w:drawing>
          <wp:inline xmlns:a="http://schemas.openxmlformats.org/drawingml/2006/main" xmlns:pic="http://schemas.openxmlformats.org/drawingml/2006/picture">
            <wp:extent cx="5508000" cy="161797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508000" cy="1617975"/>
                    </a:xfrm>
                    <a:prstGeom prst="rect"/>
                  </pic:spPr>
                </pic:pic>
              </a:graphicData>
            </a:graphic>
          </wp:inline>
        </w:drawing>
      </w:r>
    </w:p>
    <w:p>
      <w:pPr>
        <w:pStyle w:val="Caption"/>
        <w:jc w:val="left"/>
      </w:pPr>
      <w:r>
        <w:t>2026 年 10 月 18 日  ·  版本 1.1 Demo 同步修订版</w:t>
      </w:r>
    </w:p>
    <w:p>
      <w:pPr>
        <w:pStyle w:val="Caption"/>
        <w:jc w:val="left"/>
      </w:pPr>
      <w:r>
        <w:rPr>
          <w:b w:val="0"/>
        </w:rPr>
        <w:t>结合珊瑚研究依据与前期海洋环境论文。演示结果使用合成数据。</w:t>
      </w:r>
    </w:p>
    <w:p>
      <w:r>
        <w:br w:type="page"/>
      </w:r>
    </w:p>
    <w:p>
      <w:pPr>
        <w:pStyle w:val="Heading2"/>
        <w:jc w:val="left"/>
      </w:pPr>
      <w:r>
        <w:rPr>
          <w:b w:val="0"/>
          <w:color w:val="000000"/>
          <w:u w:val="none"/>
        </w:rPr>
        <w:t>项目摘要</w:t>
      </w:r>
    </w:p>
    <w:p>
      <w:pPr>
        <w:jc w:val="both"/>
      </w:pPr>
      <w:r>
        <w:rPr>
          <w:b w:val="0"/>
        </w:rPr>
        <w:t>相近的热暴露可以对应不同的珊瑚白化响应。已有珊瑚野外研究揭示了局地人为压力与长期珊瑚覆盖变化的区域差异，实验研究进一步表明，硝酸盐与铵盐在热胁迫下可能产生不同的白化响应，扑草净也可能改变珊瑚对硝酸盐的敏感性。[8–10] 本项目据此聚焦一个可检验的问题：在热暴露已知时，营养盐形态、陆源共污染及生态背景，能否帮助识别未来第 7、14、30 天更可能出现白化的礁区；必要的先行环境信息应从何处、提前多久获取？</w:t>
      </w:r>
    </w:p>
    <w:p>
      <w:pPr>
        <w:jc w:val="both"/>
      </w:pPr>
      <w:r>
        <w:t>项目提出者的 GCB、两篇 EST 及以第二作者参与的 NC 研究，分别为资源背景依赖、复合胁迫下的时空错位、表观状态与生态后果的区分，以及遗漏环境因子造成的判断偏差提供了前期研究基础。[11–14] CoralBleach-Agent 将这些研究思路用于珊瑚任务：大模型读取场景与证据，从模型池规划下一项可检验的比较；数值工具执行实验，返回验证反馈，并在预算内完成对照与方案冻结。项目以独立礁区的预测质量和固定调查容量下的事件覆盖评价新增信息。当前 Demo 已实现合成数据上的计算闭环，并新增氮形态与共污染的合成实验路线；真实浓度与白化观测接入仍待完成。</w:t>
      </w:r>
    </w:p>
    <w:p>
      <w:pPr>
        <w:pStyle w:val="Heading1"/>
        <w:jc w:val="left"/>
      </w:pPr>
      <w:r>
        <w:rPr>
          <w:b w:val="0"/>
          <w:color w:val="000000"/>
          <w:u w:val="none"/>
        </w:rPr>
        <w:t>一、科学问题：热暴露相近时，风险判断还缺少什么</w:t>
      </w:r>
    </w:p>
    <w:p>
      <w:pPr>
        <w:pStyle w:val="Heading2"/>
        <w:jc w:val="left"/>
      </w:pPr>
      <w:r>
        <w:rPr>
          <w:b w:val="0"/>
          <w:color w:val="000000"/>
          <w:u w:val="none"/>
        </w:rPr>
        <w:t>1.1 从暴露到响应的辨识问题</w:t>
      </w:r>
    </w:p>
    <w:p>
      <w:pPr>
        <w:jc w:val="both"/>
      </w:pPr>
      <w:r>
        <w:rPr>
          <w:b w:val="0"/>
        </w:rPr>
        <w:t>珊瑚白化表示珊瑚与共生藻关系受到扰动，表现为色素或共生藻减少。白化后的珊瑚可能恢复，也可能在持续压力下死亡；一次白化调查不能替代死亡或恢复随访。[1] 对监测工作的直接影响是：热压力最大的地点、已观察到白化的地点和需要评估后续损失的地点，可能对应不同的调查任务。</w:t>
      </w:r>
    </w:p>
    <w:p>
      <w:pPr>
        <w:jc w:val="both"/>
      </w:pPr>
      <w:r>
        <w:rPr>
          <w:b w:val="0"/>
        </w:rPr>
        <w:t>NOAA Coral Reef Watch 的 DHW 产品将近期热压力累积为环境指标，为大范围风险识别提供依据。[2] 本项目保留其作为核心暴露信息的地位。进一步的问题是，同等热暴露能否通过局地环境和生态背景被分解为不同的白化风险。Sully 等对全球现场记录的分析显示，白化与热异常的关系存在空间差异，温度变异等背景也参与解释观测模式。[3] 因此，本项目不将“白化受多因子影响”本身作为新发现，而检验新增变量能否改变独立礁区的预测和调查排序。</w:t>
      </w:r>
    </w:p>
    <w:p>
      <w:pPr>
        <w:pStyle w:val="Heading2"/>
        <w:jc w:val="left"/>
      </w:pPr>
      <w:r>
        <w:rPr>
          <w:b w:val="0"/>
          <w:color w:val="000000"/>
          <w:u w:val="none"/>
        </w:rPr>
        <w:t>1.2 中心问题与研究切片</w:t>
      </w:r>
    </w:p>
    <w:p>
      <w:pPr>
        <w:jc w:val="both"/>
      </w:pPr>
      <w:r>
        <w:rPr>
          <w:b w:val="0"/>
        </w:rPr>
        <w:t>核心科学问题是：在相近热暴露下，氮形态及陆源共污染是否改变珊瑚的白化易感性；将这些局地条件、生态敏感性和水动力相关的先行环境信息纳入预测后，能否改善未来第 7、14、30 天的白化判断，并提高固定调查容量下的事件覆盖？研究同时追问增益出现在哪些环境背景、提前期和区域，以及哪些条件下局地热暴露已足以支持判断。</w:t>
      </w:r>
    </w:p>
    <w:p>
      <w:pPr>
        <w:jc w:val="both"/>
      </w:pPr>
      <w:r>
        <w:rPr>
          <w:b w:val="0"/>
        </w:rPr>
        <w:t>“全球”首先表示统一的数据与评估框架。首轮真实研究按数据审计结果选择有连续环境记录、可靠调查日期和重复白化观测的区域，再进行区域外检验。不能用全球底图或少量地名锚点代表已经实现全球预测能力。一次调查后的白化比例、持续时间和最终结局分别构成后续任务，不能混合为一个训练标签。</w:t>
      </w:r>
    </w:p>
    <w:p>
      <w:pPr>
        <w:pStyle w:val="Heading2"/>
      </w:pPr>
      <w:r>
        <w:rPr>
          <w:b w:val="0"/>
          <w:color w:val="000000"/>
          <w:u w:val="none"/>
        </w:rPr>
        <w:t>1.3 珊瑚研究依据与前期方法积累</w:t>
      </w:r>
    </w:p>
    <w:p>
      <w:pPr>
        <w:widowControl/>
        <w:jc w:val="both"/>
      </w:pPr>
      <w:commentRangeStart w:id="0"/>
      <w:r>
        <w:rPr>
          <w:b w:val="0"/>
        </w:rPr>
        <w:t>珊瑚野外与实验研究把“局地条件”具体落实到营养盐、污染物与热胁迫的关系。Xu 等基于北部南海长期资料，发现局地人为压力与活珊瑚覆盖变化的关系具有区域差异。[8] 这支持在统一热暴露指标之外识别区域背景，也为选择先导区域提供依据。该研究的终点是长期活珊瑚覆盖变化；本项目需要另行取得有明确日期的白化调查，才能研究短期白化预警。</w:t>
      </w:r>
      <w:commentRangeEnd w:id="0"/>
      <w:r>
        <w:rPr>
          <w:rStyle w:val="CommentReference"/>
        </w:rPr>
        <w:commentReference w:id="0"/>
      </w:r>
    </w:p>
    <w:p>
      <w:pPr>
        <w:widowControl/>
        <w:jc w:val="both"/>
      </w:pPr>
      <w:r>
        <w:rPr>
          <w:b w:val="0"/>
        </w:rPr>
        <w:t>Zhang、Kang 等的珊瑚实验发现，在所测试条件下，硝酸盐加重而铵盐减轻了热白化，并涉及不同的脂质相关过程和应激响应。[9] 因而，总无机氮相近的样本仍可能具有不同的白化敏感性。Li 等的实验则表明，扑草净可增加造礁珊瑚对硝酸盐胁迫的易感性。[10] 两项研究分别支持区分氮形态、检验污染物与营养盐交互；后者没有直接验证热胁迫、氮形态与扑草净的三重交互。实验中的效应方向需在物种、浓度与暴露条件相容的现场资料中重新检验，不能据此提出向海域补加铵盐的措施。</w:t>
      </w:r>
    </w:p>
    <w:p>
      <w:pPr>
        <w:widowControl/>
        <w:jc w:val="both"/>
      </w:pPr>
      <w:commentRangeStart w:id="1"/>
      <w:r>
        <w:rPr>
          <w:b w:val="0"/>
        </w:rPr>
        <w:t>项目提出者的四篇海洋环境论文提供了跨系统分析经验。它们的共同用途是帮助提出候选关系、选择反例和设计比较；其中的生物终点、效应量与已训练模型均不直接转用于珊瑚。对应关系如下。</w:t>
      </w:r>
      <w:commentRangeEnd w:id="1"/>
      <w:r>
        <w:rPr>
          <w:rStyle w:val="CommentReference"/>
        </w:rPr>
        <w:commentReference w:id="1"/>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721"/>
        <w:gridCol w:w="2891"/>
        <w:gridCol w:w="2381"/>
      </w:tblGrid>
      <w:tr>
        <w:trPr>
          <w:cantSplit/>
          <w:tblHeader/>
        </w:trPr>
        <w:tc>
          <w:tcPr>
            <w:tcW w:type="dxa" w:w="1417"/>
            <w:vAlign w:val="center"/>
            <w:tcMar>
              <w:top w:w="85" w:type="dxa"/>
              <w:left w:w="85" w:type="dxa"/>
              <w:bottom w:w="85" w:type="dxa"/>
              <w:right w:w="85" w:type="dxa"/>
            </w:tcMar>
            <w:shd w:fill="E7EEF2"/>
          </w:tcPr>
          <w:p>
            <w:pPr>
              <w:spacing w:line="278" w:lineRule="auto" w:before="100" w:after="100"/>
              <w:jc w:val="left"/>
            </w:pPr>
            <w:r>
              <w:rPr>
                <w:b/>
                <w:color w:val="000000"/>
                <w:sz w:val="18"/>
              </w:rPr>
              <w:t>前期工作</w:t>
            </w:r>
          </w:p>
        </w:tc>
        <w:tc>
          <w:tcPr>
            <w:tcW w:type="dxa" w:w="2721"/>
            <w:vAlign w:val="center"/>
            <w:tcMar>
              <w:top w:w="85" w:type="dxa"/>
              <w:left w:w="85" w:type="dxa"/>
              <w:bottom w:w="85" w:type="dxa"/>
              <w:right w:w="85" w:type="dxa"/>
            </w:tcMar>
            <w:shd w:fill="E7EEF2"/>
          </w:tcPr>
          <w:p>
            <w:pPr>
              <w:spacing w:line="278" w:lineRule="auto" w:before="100" w:after="100"/>
              <w:jc w:val="left"/>
            </w:pPr>
            <w:r>
              <w:rPr>
                <w:b/>
                <w:color w:val="000000"/>
                <w:sz w:val="18"/>
              </w:rPr>
              <w:t>已有研究所支持的思路</w:t>
            </w:r>
          </w:p>
        </w:tc>
        <w:tc>
          <w:tcPr>
            <w:tcW w:type="dxa" w:w="2891"/>
            <w:vAlign w:val="center"/>
            <w:tcMar>
              <w:top w:w="85" w:type="dxa"/>
              <w:left w:w="85" w:type="dxa"/>
              <w:bottom w:w="85" w:type="dxa"/>
              <w:right w:w="85" w:type="dxa"/>
            </w:tcMar>
            <w:shd w:fill="E7EEF2"/>
          </w:tcPr>
          <w:p>
            <w:pPr>
              <w:spacing w:line="278" w:lineRule="auto" w:before="100" w:after="100"/>
              <w:jc w:val="left"/>
            </w:pPr>
            <w:r>
              <w:rPr>
                <w:b/>
                <w:color w:val="000000"/>
                <w:sz w:val="18"/>
              </w:rPr>
              <w:t>珊瑚任务中的具体检验</w:t>
            </w:r>
          </w:p>
        </w:tc>
        <w:tc>
          <w:tcPr>
            <w:tcW w:type="dxa" w:w="2381"/>
            <w:vAlign w:val="center"/>
            <w:tcMar>
              <w:top w:w="85" w:type="dxa"/>
              <w:left w:w="85" w:type="dxa"/>
              <w:bottom w:w="85" w:type="dxa"/>
              <w:right w:w="85" w:type="dxa"/>
            </w:tcMar>
            <w:shd w:fill="E7EEF2"/>
          </w:tcPr>
          <w:p>
            <w:pPr>
              <w:spacing w:line="278" w:lineRule="auto" w:before="100" w:after="100"/>
              <w:jc w:val="left"/>
            </w:pPr>
            <w:r>
              <w:rPr>
                <w:b/>
                <w:color w:val="000000"/>
                <w:sz w:val="18"/>
              </w:rPr>
              <w:t>迁移边界</w:t>
            </w:r>
          </w:p>
        </w:tc>
      </w:tr>
      <w:tr>
        <w:trPr>
          <w:cantSplit/>
        </w:trPr>
        <w:tc>
          <w:tcPr>
            <w:tcW w:type="dxa" w:w="1417"/>
            <w:vAlign w:val="center"/>
            <w:tcMar>
              <w:top w:w="85" w:type="dxa"/>
              <w:left w:w="85" w:type="dxa"/>
              <w:bottom w:w="85" w:type="dxa"/>
              <w:right w:w="85" w:type="dxa"/>
            </w:tcMar>
          </w:tcPr>
          <w:p>
            <w:pPr>
              <w:spacing w:line="278" w:lineRule="auto" w:before="100" w:after="100"/>
              <w:jc w:val="left"/>
            </w:pPr>
            <w:r>
              <w:rPr>
                <w:b w:val="0"/>
                <w:color w:val="000000"/>
                <w:sz w:val="18"/>
              </w:rPr>
              <w:t>GCB 极地浮游植物研究 [11]</w:t>
            </w:r>
          </w:p>
        </w:tc>
        <w:tc>
          <w:tcPr>
            <w:tcW w:type="dxa" w:w="2721"/>
            <w:vAlign w:val="center"/>
            <w:tcMar>
              <w:top w:w="85" w:type="dxa"/>
              <w:left w:w="85" w:type="dxa"/>
              <w:bottom w:w="85" w:type="dxa"/>
              <w:right w:w="85" w:type="dxa"/>
            </w:tcMar>
          </w:tcPr>
          <w:p>
            <w:pPr>
              <w:spacing w:line="278" w:lineRule="auto" w:before="100" w:after="100"/>
              <w:jc w:val="left"/>
            </w:pPr>
            <w:r>
              <w:rPr>
                <w:b w:val="0"/>
                <w:color w:val="000000"/>
                <w:sz w:val="18"/>
              </w:rPr>
              <w:t>热事件的生态响应受资源背景共同影响</w:t>
            </w:r>
          </w:p>
        </w:tc>
        <w:tc>
          <w:tcPr>
            <w:tcW w:type="dxa" w:w="2891"/>
            <w:vAlign w:val="center"/>
            <w:tcMar>
              <w:top w:w="85" w:type="dxa"/>
              <w:left w:w="85" w:type="dxa"/>
              <w:bottom w:w="85" w:type="dxa"/>
              <w:right w:w="85" w:type="dxa"/>
            </w:tcMar>
          </w:tcPr>
          <w:p>
            <w:pPr>
              <w:spacing w:line="278" w:lineRule="auto" w:before="100" w:after="100"/>
              <w:jc w:val="left"/>
            </w:pPr>
            <w:r>
              <w:rPr>
                <w:b w:val="0"/>
                <w:color w:val="000000"/>
                <w:sz w:val="18"/>
              </w:rPr>
              <w:t>在相近热暴露下，分层检验营养盐背景与氮形态</w:t>
            </w:r>
          </w:p>
        </w:tc>
        <w:tc>
          <w:tcPr>
            <w:tcW w:type="dxa" w:w="2381"/>
            <w:vAlign w:val="center"/>
            <w:tcMar>
              <w:top w:w="85" w:type="dxa"/>
              <w:left w:w="85" w:type="dxa"/>
              <w:bottom w:w="85" w:type="dxa"/>
              <w:right w:w="85" w:type="dxa"/>
            </w:tcMar>
          </w:tcPr>
          <w:p>
            <w:pPr>
              <w:spacing w:line="278" w:lineRule="auto" w:before="100" w:after="100"/>
              <w:jc w:val="left"/>
            </w:pPr>
            <w:r>
              <w:rPr>
                <w:b w:val="0"/>
                <w:color w:val="000000"/>
                <w:sz w:val="18"/>
              </w:rPr>
              <w:t>极地铁供应与浮游植物响应不能直接解释珊瑚白化</w:t>
            </w:r>
          </w:p>
        </w:tc>
      </w:tr>
      <w:tr>
        <w:trPr>
          <w:cantSplit/>
        </w:trPr>
        <w:tc>
          <w:tcPr>
            <w:tcW w:type="dxa" w:w="1417"/>
            <w:vAlign w:val="center"/>
            <w:tcMar>
              <w:top w:w="85" w:type="dxa"/>
              <w:left w:w="85" w:type="dxa"/>
              <w:bottom w:w="85" w:type="dxa"/>
              <w:right w:w="85" w:type="dxa"/>
            </w:tcMar>
          </w:tcPr>
          <w:p>
            <w:pPr>
              <w:spacing w:line="278" w:lineRule="auto" w:before="100" w:after="100"/>
              <w:jc w:val="left"/>
            </w:pPr>
            <w:r>
              <w:rPr>
                <w:b w:val="0"/>
                <w:color w:val="000000"/>
                <w:sz w:val="18"/>
              </w:rPr>
              <w:t>EST 净初级生产力研究 [12]</w:t>
            </w:r>
          </w:p>
        </w:tc>
        <w:tc>
          <w:tcPr>
            <w:tcW w:type="dxa" w:w="2721"/>
            <w:vAlign w:val="center"/>
            <w:tcMar>
              <w:top w:w="85" w:type="dxa"/>
              <w:left w:w="85" w:type="dxa"/>
              <w:bottom w:w="85" w:type="dxa"/>
              <w:right w:w="85" w:type="dxa"/>
            </w:tcMar>
          </w:tcPr>
          <w:p>
            <w:pPr>
              <w:spacing w:line="278" w:lineRule="auto" w:before="100" w:after="100"/>
              <w:jc w:val="left"/>
            </w:pPr>
            <w:r>
              <w:rPr>
                <w:b w:val="0"/>
                <w:color w:val="000000"/>
                <w:sz w:val="18"/>
              </w:rPr>
              <w:t>复合暴露与生态响应可能在空间上错位，且受区域背景影响</w:t>
            </w:r>
          </w:p>
        </w:tc>
        <w:tc>
          <w:tcPr>
            <w:tcW w:type="dxa" w:w="2891"/>
            <w:vAlign w:val="center"/>
            <w:tcMar>
              <w:top w:w="85" w:type="dxa"/>
              <w:left w:w="85" w:type="dxa"/>
              <w:bottom w:w="85" w:type="dxa"/>
              <w:right w:w="85" w:type="dxa"/>
            </w:tcMar>
          </w:tcPr>
          <w:p>
            <w:pPr>
              <w:spacing w:line="278" w:lineRule="auto" w:before="100" w:after="100"/>
              <w:jc w:val="left"/>
            </w:pPr>
            <w:r>
              <w:rPr>
                <w:b w:val="0"/>
                <w:color w:val="000000"/>
                <w:sz w:val="18"/>
              </w:rPr>
              <w:t>比较局地、邻域与有物理依据的方向性先行信号</w:t>
            </w:r>
          </w:p>
        </w:tc>
        <w:tc>
          <w:tcPr>
            <w:tcW w:type="dxa" w:w="2381"/>
            <w:vAlign w:val="center"/>
            <w:tcMar>
              <w:top w:w="85" w:type="dxa"/>
              <w:left w:w="85" w:type="dxa"/>
              <w:bottom w:w="85" w:type="dxa"/>
              <w:right w:w="85" w:type="dxa"/>
            </w:tcMar>
          </w:tcPr>
          <w:p>
            <w:pPr>
              <w:spacing w:line="278" w:lineRule="auto" w:before="100" w:after="100"/>
              <w:jc w:val="left"/>
            </w:pPr>
            <w:r>
              <w:rPr>
                <w:b w:val="0"/>
                <w:color w:val="000000"/>
                <w:sz w:val="18"/>
              </w:rPr>
              <w:t>统计空间关联不等于输运路径或白化传播</w:t>
            </w:r>
          </w:p>
        </w:tc>
      </w:tr>
      <w:tr>
        <w:trPr>
          <w:cantSplit/>
        </w:trPr>
        <w:tc>
          <w:tcPr>
            <w:tcW w:type="dxa" w:w="1417"/>
            <w:vAlign w:val="center"/>
            <w:tcMar>
              <w:top w:w="85" w:type="dxa"/>
              <w:left w:w="85" w:type="dxa"/>
              <w:bottom w:w="85" w:type="dxa"/>
              <w:right w:w="85" w:type="dxa"/>
            </w:tcMar>
          </w:tcPr>
          <w:p>
            <w:pPr>
              <w:spacing w:line="278" w:lineRule="auto" w:before="100" w:after="100"/>
              <w:jc w:val="left"/>
            </w:pPr>
            <w:r>
              <w:rPr>
                <w:b w:val="0"/>
                <w:color w:val="000000"/>
                <w:sz w:val="18"/>
              </w:rPr>
              <w:t>EST 海龟研究 [13]</w:t>
            </w:r>
          </w:p>
        </w:tc>
        <w:tc>
          <w:tcPr>
            <w:tcW w:type="dxa" w:w="2721"/>
            <w:vAlign w:val="center"/>
            <w:tcMar>
              <w:top w:w="85" w:type="dxa"/>
              <w:left w:w="85" w:type="dxa"/>
              <w:bottom w:w="85" w:type="dxa"/>
              <w:right w:w="85" w:type="dxa"/>
            </w:tcMar>
          </w:tcPr>
          <w:p>
            <w:pPr>
              <w:spacing w:line="278" w:lineRule="auto" w:before="100" w:after="100"/>
              <w:jc w:val="left"/>
            </w:pPr>
            <w:r>
              <w:rPr>
                <w:b w:val="0"/>
                <w:color w:val="000000"/>
                <w:sz w:val="18"/>
              </w:rPr>
              <w:t>表观驻留状态与复合暴露后果可能不一致</w:t>
            </w:r>
          </w:p>
        </w:tc>
        <w:tc>
          <w:tcPr>
            <w:tcW w:type="dxa" w:w="2891"/>
            <w:vAlign w:val="center"/>
            <w:tcMar>
              <w:top w:w="85" w:type="dxa"/>
              <w:left w:w="85" w:type="dxa"/>
              <w:bottom w:w="85" w:type="dxa"/>
              <w:right w:w="85" w:type="dxa"/>
            </w:tcMar>
          </w:tcPr>
          <w:p>
            <w:pPr>
              <w:spacing w:line="278" w:lineRule="auto" w:before="100" w:after="100"/>
              <w:jc w:val="left"/>
            </w:pPr>
            <w:r>
              <w:rPr>
                <w:b w:val="0"/>
                <w:color w:val="000000"/>
                <w:sz w:val="18"/>
              </w:rPr>
              <w:t>分别记录热暴露、白化观测及死亡或恢复随访</w:t>
            </w:r>
          </w:p>
        </w:tc>
        <w:tc>
          <w:tcPr>
            <w:tcW w:type="dxa" w:w="2381"/>
            <w:vAlign w:val="center"/>
            <w:tcMar>
              <w:top w:w="85" w:type="dxa"/>
              <w:left w:w="85" w:type="dxa"/>
              <w:bottom w:w="85" w:type="dxa"/>
              <w:right w:w="85" w:type="dxa"/>
            </w:tcMar>
          </w:tcPr>
          <w:p>
            <w:pPr>
              <w:spacing w:line="278" w:lineRule="auto" w:before="100" w:after="100"/>
              <w:jc w:val="left"/>
            </w:pPr>
            <w:r>
              <w:rPr>
                <w:b w:val="0"/>
                <w:color w:val="000000"/>
                <w:sz w:val="18"/>
              </w:rPr>
              <w:t>海龟行为与生态陷阱不能直接迁移为珊瑚机制</w:t>
            </w:r>
          </w:p>
        </w:tc>
      </w:tr>
      <w:tr>
        <w:trPr>
          <w:cantSplit/>
        </w:trPr>
        <w:tc>
          <w:tcPr>
            <w:tcW w:type="dxa" w:w="1417"/>
            <w:vAlign w:val="center"/>
            <w:tcMar>
              <w:top w:w="85" w:type="dxa"/>
              <w:left w:w="85" w:type="dxa"/>
              <w:bottom w:w="85" w:type="dxa"/>
              <w:right w:w="85" w:type="dxa"/>
            </w:tcMar>
          </w:tcPr>
          <w:p>
            <w:pPr>
              <w:spacing w:line="278" w:lineRule="auto" w:before="100" w:after="100"/>
              <w:jc w:val="left"/>
            </w:pPr>
            <w:r>
              <w:rPr>
                <w:b w:val="0"/>
                <w:color w:val="000000"/>
                <w:sz w:val="18"/>
              </w:rPr>
              <w:t>NC 极端降水研究 第二作者 [14]</w:t>
            </w:r>
          </w:p>
        </w:tc>
        <w:tc>
          <w:tcPr>
            <w:tcW w:type="dxa" w:w="2721"/>
            <w:vAlign w:val="center"/>
            <w:tcMar>
              <w:top w:w="85" w:type="dxa"/>
              <w:left w:w="85" w:type="dxa"/>
              <w:bottom w:w="85" w:type="dxa"/>
              <w:right w:w="85" w:type="dxa"/>
            </w:tcMar>
          </w:tcPr>
          <w:p>
            <w:pPr>
              <w:spacing w:line="278" w:lineRule="auto" w:before="100" w:after="100"/>
              <w:jc w:val="left"/>
            </w:pPr>
            <w:r>
              <w:rPr>
                <w:b w:val="0"/>
                <w:color w:val="000000"/>
                <w:sz w:val="18"/>
              </w:rPr>
              <w:t>忽略环境因子可能改变对生态功能的估计</w:t>
            </w:r>
          </w:p>
        </w:tc>
        <w:tc>
          <w:tcPr>
            <w:tcW w:type="dxa" w:w="2891"/>
            <w:vAlign w:val="center"/>
            <w:tcMar>
              <w:top w:w="85" w:type="dxa"/>
              <w:left w:w="85" w:type="dxa"/>
              <w:bottom w:w="85" w:type="dxa"/>
              <w:right w:w="85" w:type="dxa"/>
            </w:tcMar>
          </w:tcPr>
          <w:p>
            <w:pPr>
              <w:spacing w:line="278" w:lineRule="auto" w:before="100" w:after="100"/>
              <w:jc w:val="left"/>
            </w:pPr>
            <w:r>
              <w:rPr>
                <w:b w:val="0"/>
                <w:color w:val="000000"/>
                <w:sz w:val="18"/>
              </w:rPr>
              <w:t>比较纳入与移除局地因子后，白化排序和调查命中是否改变</w:t>
            </w:r>
          </w:p>
        </w:tc>
        <w:tc>
          <w:tcPr>
            <w:tcW w:type="dxa" w:w="2381"/>
            <w:vAlign w:val="center"/>
            <w:tcMar>
              <w:top w:w="85" w:type="dxa"/>
              <w:left w:w="85" w:type="dxa"/>
              <w:bottom w:w="85" w:type="dxa"/>
              <w:right w:w="85" w:type="dxa"/>
            </w:tcMar>
          </w:tcPr>
          <w:p>
            <w:pPr>
              <w:spacing w:line="278" w:lineRule="auto" w:before="100" w:after="100"/>
              <w:jc w:val="left"/>
            </w:pPr>
            <w:r>
              <w:rPr>
                <w:b w:val="0"/>
                <w:color w:val="000000"/>
                <w:sz w:val="18"/>
              </w:rPr>
              <w:t>海气 CO₂ 通量结果不作为珊瑚白化或钙化证据</w:t>
            </w:r>
          </w:p>
        </w:tc>
      </w:tr>
    </w:tbl>
    <w:p>
      <w:pPr>
        <w:pStyle w:val="Heading2"/>
        <w:jc w:val="left"/>
      </w:pPr>
      <w:r>
        <w:rPr>
          <w:b w:val="0"/>
          <w:color w:val="000000"/>
          <w:u w:val="none"/>
        </w:rPr>
        <w:t>1.4 本项目拟增加的认识</w:t>
      </w:r>
    </w:p>
    <w:p>
      <w:pPr>
        <w:jc w:val="both"/>
      </w:pPr>
      <w:r>
        <w:rPr>
          <w:b w:val="0"/>
        </w:rPr>
        <w:t>已有实验已经提示氮形态与污染物可能调节珊瑚响应，本项目拟进一步检验这些条件能否在独立礁区和未来日期改善预警判断。新增认识应体现为可复现的条件差异，例如在什么营养盐背景下，仅依赖热暴露会遗漏高风险礁区，以及这种遗漏是否改变调查优先级。空间先行信息只有在超出局地解释、通过方向和错时对照后，才进入后续物理核查。Agent 的方法价值则由相同预算下的选择效率、失败记录和可复核的实验轨迹评价。</w:t>
      </w:r>
    </w:p>
    <w:p>
      <w:pPr>
        <w:pStyle w:val="Heading1"/>
        <w:jc w:val="left"/>
      </w:pPr>
      <w:r>
        <w:rPr>
          <w:b w:val="0"/>
          <w:color w:val="000000"/>
          <w:u w:val="none"/>
        </w:rPr>
        <w:t>二、目标变量、预测单位与三层证据</w:t>
      </w:r>
    </w:p>
    <w:p>
      <w:pPr>
        <w:pStyle w:val="Heading2"/>
        <w:jc w:val="left"/>
      </w:pPr>
      <w:r>
        <w:rPr>
          <w:b w:val="0"/>
          <w:color w:val="000000"/>
          <w:u w:val="none"/>
        </w:rPr>
        <w:t>2.1 可计算的目标定义</w:t>
      </w:r>
    </w:p>
    <w:p>
      <w:pPr>
        <w:jc w:val="both"/>
      </w:pPr>
      <w:r>
        <w:rPr>
          <w:b w:val="0"/>
        </w:rPr>
        <w:t>基本单位为“礁区中的固定调查单元 i × 预测起点 t × 提前期 H”。本版最小任务预测目标日 t+H 的白化状态，H 分别取 7、14、30 天。真实数据的示例二分类定义为：按照预先规定的调查协议，调查单元中白化珊瑚群体占受调查群体的比例达到阈值 τ；τ=10% 可作为先导分析方案，必须在测试前确定，并对替代阈值报告敏感性。不同来源中的群体比例、覆盖面积比例和序数评分不能未经转换合并。</w:t>
      </w:r>
    </w:p>
    <w:p>
      <w:pPr>
        <w:jc w:val="both"/>
      </w:pPr>
      <w:r>
        <w:rPr>
          <w:b w:val="0"/>
        </w:rPr>
        <w:t>目标日允许的调查匹配容差应在建模前登记，例如日期完整时使用 ±1 天；超出容差或目标日无调查的样本保留为未标注。调查日期、报告日期与数据可获得日期分别记录。只有在 t 之前已经可获得的信息才能作为输入。若随后改为“未来 H 天内首次白化”，必须增加连续随访、入组时无白化的条件及区间删失处理，另行评估发生时间；不得把本版目标日状态的成绩作为事件发生时间的成绩。</w:t>
      </w:r>
    </w:p>
    <w:p>
      <w:pPr>
        <w:jc w:val="both"/>
      </w:pPr>
      <w:r>
        <w:rPr>
          <w:b w:val="0"/>
        </w:rPr>
        <w:t>预测提前期 H 与环境滞后 L 分开：模型用 t 及此前的局地环境，并可用相连地点在 t−L 的环境信号预测 Y(i,t+H)。本版候选 L 为 0、7、14、30 天。即使最优 L 恰好等于 H，也不能据此认定生理响应时间。合成器中的隐藏延迟、候选输入滞后和目标提前期具有不同含义。</w:t>
      </w:r>
    </w:p>
    <w:p>
      <w:pPr>
        <w:pStyle w:val="Heading2"/>
        <w:jc w:val="left"/>
      </w:pPr>
      <w:r>
        <w:rPr>
          <w:b w:val="0"/>
          <w:color w:val="000000"/>
          <w:u w:val="none"/>
        </w:rPr>
        <w:t>2.2 三层信息的接口边界</w:t>
      </w:r>
    </w:p>
    <w:tbl>
      <w:tblPr>
        <w:tblStyle w:val="TableGrid"/>
        <w:tblW w:type="auto" w:w="0"/>
        <w:tblLayout w:type="fixed"/>
        <w:tblLook w:firstColumn="1" w:firstRow="1" w:lastColumn="0" w:lastRow="0" w:noHBand="0" w:noVBand="1" w:val="04A0"/>
      </w:tblPr>
      <w:tblGrid>
        <w:gridCol w:w="2353"/>
        <w:gridCol w:w="2353"/>
        <w:gridCol w:w="2353"/>
        <w:gridCol w:w="2353"/>
      </w:tblGrid>
      <w:tr>
        <w:trPr>
          <w:cantSplit/>
          <w:tblHeader/>
        </w:trPr>
        <w:tc>
          <w:tcPr>
            <w:tcW w:type="dxa" w:w="2353"/>
            <w:shd w:fill="E1EEEB"/>
          </w:tcPr>
          <w:p>
            <w:pPr>
              <w:spacing w:after="100" w:before="100" w:line="283" w:lineRule="auto"/>
            </w:pPr>
            <w:r>
              <w:rPr>
                <w:b/>
                <w:sz w:val="18"/>
              </w:rPr>
              <w:t>层次</w:t>
            </w:r>
          </w:p>
        </w:tc>
        <w:tc>
          <w:tcPr>
            <w:tcW w:type="dxa" w:w="2353"/>
            <w:shd w:fill="E1EEEB"/>
          </w:tcPr>
          <w:p>
            <w:pPr>
              <w:spacing w:after="100" w:before="100" w:line="283" w:lineRule="auto"/>
            </w:pPr>
            <w:r>
              <w:rPr>
                <w:b/>
                <w:sz w:val="18"/>
              </w:rPr>
              <w:t>主要字段与证据</w:t>
            </w:r>
          </w:p>
        </w:tc>
        <w:tc>
          <w:tcPr>
            <w:tcW w:type="dxa" w:w="2353"/>
            <w:shd w:fill="E1EEEB"/>
          </w:tcPr>
          <w:p>
            <w:pPr>
              <w:spacing w:after="100" w:before="100" w:line="283" w:lineRule="auto"/>
            </w:pPr>
            <w:r>
              <w:rPr>
                <w:b/>
                <w:sz w:val="18"/>
              </w:rPr>
              <w:t>允许输出</w:t>
            </w:r>
          </w:p>
        </w:tc>
        <w:tc>
          <w:tcPr>
            <w:tcW w:type="dxa" w:w="2353"/>
            <w:shd w:fill="E1EEEB"/>
          </w:tcPr>
          <w:p>
            <w:pPr>
              <w:spacing w:after="100" w:before="100" w:line="283" w:lineRule="auto"/>
            </w:pPr>
            <w:r>
              <w:rPr>
                <w:b/>
                <w:sz w:val="18"/>
              </w:rPr>
              <w:t>不可替代的观测</w:t>
            </w:r>
          </w:p>
        </w:tc>
      </w:tr>
      <w:tr>
        <w:trPr>
          <w:cantSplit/>
        </w:trPr>
        <w:tc>
          <w:tcPr>
            <w:tcW w:type="dxa" w:w="2353"/>
          </w:tcPr>
          <w:p>
            <w:pPr>
              <w:spacing w:after="100" w:before="100" w:line="283" w:lineRule="auto"/>
            </w:pPr>
            <w:r>
              <w:rPr>
                <w:b w:val="0"/>
                <w:sz w:val="18"/>
              </w:rPr>
              <w:t>环境风险</w:t>
            </w:r>
          </w:p>
        </w:tc>
        <w:tc>
          <w:tcPr>
            <w:tcW w:type="dxa" w:w="2353"/>
          </w:tcPr>
          <w:p>
            <w:pPr>
              <w:spacing w:after="100" w:before="100" w:line="283" w:lineRule="auto"/>
            </w:pPr>
            <w:r>
              <w:rPr>
                <w:b w:val="0"/>
                <w:sz w:val="18"/>
              </w:rPr>
              <w:t>SST、DHW、光照、水动力及其时间戳</w:t>
            </w:r>
          </w:p>
        </w:tc>
        <w:tc>
          <w:tcPr>
            <w:tcW w:type="dxa" w:w="2353"/>
          </w:tcPr>
          <w:p>
            <w:pPr>
              <w:spacing w:after="100" w:before="100" w:line="283" w:lineRule="auto"/>
            </w:pPr>
            <w:r>
              <w:rPr>
                <w:b w:val="0"/>
                <w:sz w:val="18"/>
              </w:rPr>
              <w:t>环境暴露、风险排序、缺测提示</w:t>
            </w:r>
          </w:p>
        </w:tc>
        <w:tc>
          <w:tcPr>
            <w:tcW w:type="dxa" w:w="2353"/>
          </w:tcPr>
          <w:p>
            <w:pPr>
              <w:spacing w:after="100" w:before="100" w:line="283" w:lineRule="auto"/>
            </w:pPr>
            <w:r>
              <w:rPr>
                <w:b w:val="0"/>
                <w:sz w:val="18"/>
              </w:rPr>
              <w:t>不替代白化现场记录</w:t>
            </w:r>
          </w:p>
        </w:tc>
      </w:tr>
      <w:tr>
        <w:trPr>
          <w:cantSplit/>
        </w:trPr>
        <w:tc>
          <w:tcPr>
            <w:tcW w:type="dxa" w:w="2353"/>
          </w:tcPr>
          <w:p>
            <w:pPr>
              <w:spacing w:after="100" w:before="100" w:line="283" w:lineRule="auto"/>
            </w:pPr>
            <w:r>
              <w:rPr>
                <w:b w:val="0"/>
                <w:sz w:val="18"/>
              </w:rPr>
              <w:t>白化证据</w:t>
            </w:r>
          </w:p>
        </w:tc>
        <w:tc>
          <w:tcPr>
            <w:tcW w:type="dxa" w:w="2353"/>
          </w:tcPr>
          <w:p>
            <w:pPr>
              <w:spacing w:after="100" w:before="100" w:line="283" w:lineRule="auto"/>
            </w:pPr>
            <w:r>
              <w:rPr>
                <w:b w:val="0"/>
                <w:sz w:val="18"/>
              </w:rPr>
              <w:t>调查日期、方法、深度、类群、样本量、白化比例或等级</w:t>
            </w:r>
          </w:p>
        </w:tc>
        <w:tc>
          <w:tcPr>
            <w:tcW w:type="dxa" w:w="2353"/>
          </w:tcPr>
          <w:p>
            <w:pPr>
              <w:spacing w:after="100" w:before="100" w:line="283" w:lineRule="auto"/>
            </w:pPr>
            <w:r>
              <w:rPr>
                <w:b w:val="0"/>
                <w:sz w:val="18"/>
              </w:rPr>
              <w:t>白化状态与严重程度的协议内判断</w:t>
            </w:r>
          </w:p>
        </w:tc>
        <w:tc>
          <w:tcPr>
            <w:tcW w:type="dxa" w:w="2353"/>
          </w:tcPr>
          <w:p>
            <w:pPr>
              <w:spacing w:after="100" w:before="100" w:line="283" w:lineRule="auto"/>
            </w:pPr>
            <w:r>
              <w:rPr>
                <w:b w:val="0"/>
                <w:sz w:val="18"/>
              </w:rPr>
              <w:t>不替代死亡与恢复随访</w:t>
            </w:r>
          </w:p>
        </w:tc>
      </w:tr>
      <w:tr>
        <w:trPr>
          <w:cantSplit/>
        </w:trPr>
        <w:tc>
          <w:tcPr>
            <w:tcW w:type="dxa" w:w="2353"/>
          </w:tcPr>
          <w:p>
            <w:pPr>
              <w:spacing w:after="100" w:before="100" w:line="283" w:lineRule="auto"/>
            </w:pPr>
            <w:r>
              <w:rPr>
                <w:b w:val="0"/>
                <w:sz w:val="18"/>
              </w:rPr>
              <w:t>生态后果</w:t>
            </w:r>
          </w:p>
        </w:tc>
        <w:tc>
          <w:tcPr>
            <w:tcW w:type="dxa" w:w="2353"/>
          </w:tcPr>
          <w:p>
            <w:pPr>
              <w:spacing w:after="100" w:before="100" w:line="283" w:lineRule="auto"/>
            </w:pPr>
            <w:r>
              <w:rPr>
                <w:b w:val="0"/>
                <w:sz w:val="18"/>
              </w:rPr>
              <w:t>同一单元的重复调查、死亡计数、恢复状态、随访时长</w:t>
            </w:r>
          </w:p>
        </w:tc>
        <w:tc>
          <w:tcPr>
            <w:tcW w:type="dxa" w:w="2353"/>
          </w:tcPr>
          <w:p>
            <w:pPr>
              <w:spacing w:after="100" w:before="100" w:line="283" w:lineRule="auto"/>
            </w:pPr>
            <w:r>
              <w:rPr>
                <w:b w:val="0"/>
                <w:sz w:val="18"/>
              </w:rPr>
              <w:t>对指定结局的独立描述或预测</w:t>
            </w:r>
          </w:p>
        </w:tc>
        <w:tc>
          <w:tcPr>
            <w:tcW w:type="dxa" w:w="2353"/>
          </w:tcPr>
          <w:p>
            <w:pPr>
              <w:spacing w:after="100" w:before="100" w:line="283" w:lineRule="auto"/>
            </w:pPr>
            <w:r>
              <w:rPr>
                <w:b w:val="0"/>
                <w:sz w:val="18"/>
              </w:rPr>
              <w:t>不由热应激值或白化率直接推算</w:t>
            </w:r>
          </w:p>
        </w:tc>
      </w:tr>
    </w:tbl>
    <w:p>
      <w:pPr>
        <w:spacing w:after="0"/>
      </w:pPr>
    </w:p>
    <w:p>
      <w:pPr>
        <w:jc w:val="both"/>
      </w:pPr>
      <w:r>
        <w:rPr>
          <w:b w:val="0"/>
        </w:rPr>
        <w:t>标签另设证据等级：A 为调查方法、位置、日期和白化指标可追溯的现场记录；B 为可追溯的区域事件报告，需核对其精度与定义；C 为环境代理，仅用于驱动或候选风险；U 为未调查或状态不明。A/B/C/U 是本项目的数据管理约定，不是通用国际证据评级。A级未白化观测可在其调查范围内提供负例，U 不能自动成为负例；B 级不得自动升级成定量白化率。</w:t>
      </w:r>
    </w:p>
    <w:p>
      <w:pPr>
        <w:pStyle w:val="Heading2"/>
        <w:jc w:val="left"/>
      </w:pPr>
      <w:r>
        <w:rPr>
          <w:b w:val="0"/>
          <w:color w:val="000000"/>
          <w:u w:val="none"/>
        </w:rPr>
        <w:t>2.3 真实数据接入优先级</w:t>
      </w:r>
    </w:p>
    <w:p>
      <w:pPr>
        <w:jc w:val="both"/>
      </w:pPr>
      <w:r>
        <w:rPr>
          <w:b w:val="0"/>
        </w:rPr>
        <w:t>环境数据首先接入 NOAA Coral Reef Watch，记录版本、分辨率、单位和历史发布时效。白化标签可从 Global Coral-Bleaching Database（GCBD）开始审计，并沿来源追踪原始调查；该数据库包含白化存在与缺失、调查事件及环境背景，但不等于连续日尺度观测。[4] 对恢复研究，Heatwaves and Coral-Recovery Database 提供独立的数据入口。[5] 这些来源在当前网站中作为接入路线列出，尚未作为本 Demo 的训练数据。</w:t>
      </w:r>
    </w:p>
    <w:p>
      <w:pPr>
        <w:jc w:val="both"/>
      </w:pPr>
      <w:r>
        <w:rPr>
          <w:b w:val="0"/>
        </w:rPr>
        <w:t>空间配对以调查单元和实际环境网格为依据，保存岸线掩膜、深度、聚合半径和时间匹配规则。卫星表层温度与不同深度珊瑚所受温度可能不一致，需用原位记录评估代表性。光照、pH、风暴、浑浊度和径流按其时空覆盖逐项纳入，不能为了“复杂场景”在缺乏可靠数据时强行填满特征表。</w:t>
      </w:r>
    </w:p>
    <w:p>
      <w:pPr>
        <w:pStyle w:val="Heading2"/>
      </w:pPr>
      <w:r>
        <w:rPr>
          <w:b w:val="0"/>
          <w:color w:val="000000"/>
          <w:u w:val="none"/>
        </w:rPr>
        <w:t>2.4 氮形态与共污染模块的接入条件</w:t>
      </w:r>
    </w:p>
    <w:p>
      <w:pPr>
        <w:widowControl/>
        <w:jc w:val="both"/>
      </w:pPr>
      <w:r>
        <w:rPr>
          <w:b w:val="0"/>
        </w:rPr>
        <w:t>扩展数据按可获得性分层接入。具备全球或大范围覆盖的热暴露作为共同基线；营养盐形态与污染物仅在测量或经过验证的产品足以支持目标尺度时使用。一次采样不能自动代表整个白化季，流域施肥或土地利用强度也不能直接当作礁区水体中的化学浓度。</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422"/>
        <w:gridCol w:w="3288"/>
      </w:tblGrid>
      <w:tr>
        <w:trPr>
          <w:cantSplit/>
          <w:tblHeader/>
        </w:trPr>
        <w:tc>
          <w:tcPr>
            <w:tcW w:type="dxa" w:w="1701"/>
            <w:vAlign w:val="center"/>
            <w:tcMar>
              <w:top w:w="85" w:type="dxa"/>
              <w:left w:w="85" w:type="dxa"/>
              <w:bottom w:w="85" w:type="dxa"/>
              <w:right w:w="85" w:type="dxa"/>
            </w:tcMar>
            <w:shd w:fill="E7EEF2"/>
          </w:tcPr>
          <w:p>
            <w:pPr>
              <w:spacing w:line="278" w:lineRule="auto" w:before="100" w:after="100"/>
              <w:jc w:val="left"/>
            </w:pPr>
            <w:r>
              <w:rPr>
                <w:b/>
                <w:color w:val="000000"/>
                <w:sz w:val="18"/>
              </w:rPr>
              <w:t>数据模块</w:t>
            </w:r>
          </w:p>
        </w:tc>
        <w:tc>
          <w:tcPr>
            <w:tcW w:type="dxa" w:w="4422"/>
            <w:vAlign w:val="center"/>
            <w:tcMar>
              <w:top w:w="85" w:type="dxa"/>
              <w:left w:w="85" w:type="dxa"/>
              <w:bottom w:w="85" w:type="dxa"/>
              <w:right w:w="85" w:type="dxa"/>
            </w:tcMar>
            <w:shd w:fill="E7EEF2"/>
          </w:tcPr>
          <w:p>
            <w:pPr>
              <w:spacing w:line="278" w:lineRule="auto" w:before="100" w:after="100"/>
              <w:jc w:val="left"/>
            </w:pPr>
            <w:r>
              <w:rPr>
                <w:b/>
                <w:color w:val="000000"/>
                <w:sz w:val="18"/>
              </w:rPr>
              <w:t>必须保留的字段与用途</w:t>
            </w:r>
          </w:p>
        </w:tc>
        <w:tc>
          <w:tcPr>
            <w:tcW w:type="dxa" w:w="3288"/>
            <w:vAlign w:val="center"/>
            <w:tcMar>
              <w:top w:w="85" w:type="dxa"/>
              <w:left w:w="85" w:type="dxa"/>
              <w:bottom w:w="85" w:type="dxa"/>
              <w:right w:w="85" w:type="dxa"/>
            </w:tcMar>
            <w:shd w:fill="E7EEF2"/>
          </w:tcPr>
          <w:p>
            <w:pPr>
              <w:spacing w:line="278" w:lineRule="auto" w:before="100" w:after="100"/>
              <w:jc w:val="left"/>
            </w:pPr>
            <w:r>
              <w:rPr>
                <w:b/>
                <w:color w:val="000000"/>
                <w:sz w:val="18"/>
              </w:rPr>
              <w:t>不满足条件时的处理</w:t>
            </w:r>
          </w:p>
        </w:tc>
      </w:tr>
      <w:tr>
        <w:trPr>
          <w:cantSplit/>
        </w:trPr>
        <w:tc>
          <w:tcPr>
            <w:tcW w:type="dxa" w:w="1701"/>
            <w:vAlign w:val="center"/>
            <w:tcMar>
              <w:top w:w="85" w:type="dxa"/>
              <w:left w:w="85" w:type="dxa"/>
              <w:bottom w:w="85" w:type="dxa"/>
              <w:right w:w="85" w:type="dxa"/>
            </w:tcMar>
          </w:tcPr>
          <w:p>
            <w:pPr>
              <w:spacing w:line="278" w:lineRule="auto" w:before="100" w:after="100"/>
              <w:jc w:val="left"/>
            </w:pPr>
            <w:r>
              <w:rPr>
                <w:b w:val="0"/>
                <w:color w:val="000000"/>
                <w:sz w:val="18"/>
              </w:rPr>
              <w:t>氮形态与营养背景</w:t>
            </w:r>
          </w:p>
        </w:tc>
        <w:tc>
          <w:tcPr>
            <w:tcW w:type="dxa" w:w="4422"/>
            <w:vAlign w:val="center"/>
            <w:tcMar>
              <w:top w:w="85" w:type="dxa"/>
              <w:left w:w="85" w:type="dxa"/>
              <w:bottom w:w="85" w:type="dxa"/>
              <w:right w:w="85" w:type="dxa"/>
            </w:tcMar>
          </w:tcPr>
          <w:p>
            <w:pPr>
              <w:spacing w:line="278" w:lineRule="auto" w:before="100" w:after="100"/>
              <w:jc w:val="left"/>
            </w:pPr>
            <w:r>
              <w:rPr>
                <w:b w:val="0"/>
                <w:color w:val="000000"/>
                <w:sz w:val="18"/>
              </w:rPr>
              <w:t>NO₃⁻、NH₄⁺分别记录；保留浓度、单位、检出限、采样时间、深度及可获得日期；NO₂⁻与其他营养盐按覆盖补充</w:t>
            </w:r>
          </w:p>
        </w:tc>
        <w:tc>
          <w:tcPr>
            <w:tcW w:type="dxa" w:w="3288"/>
            <w:vAlign w:val="center"/>
            <w:tcMar>
              <w:top w:w="85" w:type="dxa"/>
              <w:left w:w="85" w:type="dxa"/>
              <w:bottom w:w="85" w:type="dxa"/>
              <w:right w:w="85" w:type="dxa"/>
            </w:tcMar>
          </w:tcPr>
          <w:p>
            <w:pPr>
              <w:spacing w:line="278" w:lineRule="auto" w:before="100" w:after="100"/>
              <w:jc w:val="left"/>
            </w:pPr>
            <w:r>
              <w:rPr>
                <w:b w:val="0"/>
                <w:color w:val="000000"/>
                <w:sz w:val="18"/>
              </w:rPr>
              <w:t>只有总氮或 DIN 时不反推各形态；缩小为背景分层或暂缓形态假设</w:t>
            </w:r>
          </w:p>
        </w:tc>
      </w:tr>
      <w:tr>
        <w:trPr>
          <w:cantSplit/>
        </w:trPr>
        <w:tc>
          <w:tcPr>
            <w:tcW w:type="dxa" w:w="1701"/>
            <w:vAlign w:val="center"/>
            <w:tcMar>
              <w:top w:w="85" w:type="dxa"/>
              <w:left w:w="85" w:type="dxa"/>
              <w:bottom w:w="85" w:type="dxa"/>
              <w:right w:w="85" w:type="dxa"/>
            </w:tcMar>
          </w:tcPr>
          <w:p>
            <w:pPr>
              <w:spacing w:line="278" w:lineRule="auto" w:before="100" w:after="100"/>
              <w:jc w:val="left"/>
            </w:pPr>
            <w:r>
              <w:rPr>
                <w:b w:val="0"/>
                <w:color w:val="000000"/>
                <w:sz w:val="18"/>
              </w:rPr>
              <w:t>共污染与陆源输入</w:t>
            </w:r>
          </w:p>
        </w:tc>
        <w:tc>
          <w:tcPr>
            <w:tcW w:type="dxa" w:w="4422"/>
            <w:vAlign w:val="center"/>
            <w:tcMar>
              <w:top w:w="85" w:type="dxa"/>
              <w:left w:w="85" w:type="dxa"/>
              <w:bottom w:w="85" w:type="dxa"/>
              <w:right w:w="85" w:type="dxa"/>
            </w:tcMar>
          </w:tcPr>
          <w:p>
            <w:pPr>
              <w:spacing w:line="278" w:lineRule="auto" w:before="100" w:after="100"/>
              <w:jc w:val="left"/>
            </w:pPr>
            <w:r>
              <w:rPr>
                <w:b w:val="0"/>
                <w:color w:val="000000"/>
                <w:sz w:val="18"/>
              </w:rPr>
              <w:t>扑草净等实测污染物浓度与分析方法；降水、径流、土地利用另作输入背景，单独标识代理属性</w:t>
            </w:r>
          </w:p>
        </w:tc>
        <w:tc>
          <w:tcPr>
            <w:tcW w:type="dxa" w:w="3288"/>
            <w:vAlign w:val="center"/>
            <w:tcMar>
              <w:top w:w="85" w:type="dxa"/>
              <w:left w:w="85" w:type="dxa"/>
              <w:bottom w:w="85" w:type="dxa"/>
              <w:right w:w="85" w:type="dxa"/>
            </w:tcMar>
          </w:tcPr>
          <w:p>
            <w:pPr>
              <w:spacing w:line="278" w:lineRule="auto" w:before="100" w:after="100"/>
              <w:jc w:val="left"/>
            </w:pPr>
            <w:r>
              <w:rPr>
                <w:b w:val="0"/>
                <w:color w:val="000000"/>
                <w:sz w:val="18"/>
              </w:rPr>
              <w:t>未测不记为零；低于检出限与未采样分别编码；不虚构全球逐日浓度图</w:t>
            </w:r>
          </w:p>
        </w:tc>
      </w:tr>
      <w:tr>
        <w:trPr>
          <w:cantSplit/>
        </w:trPr>
        <w:tc>
          <w:tcPr>
            <w:tcW w:type="dxa" w:w="1701"/>
            <w:vAlign w:val="center"/>
            <w:tcMar>
              <w:top w:w="85" w:type="dxa"/>
              <w:left w:w="85" w:type="dxa"/>
              <w:bottom w:w="85" w:type="dxa"/>
              <w:right w:w="85" w:type="dxa"/>
            </w:tcMar>
          </w:tcPr>
          <w:p>
            <w:pPr>
              <w:spacing w:line="278" w:lineRule="auto" w:before="100" w:after="100"/>
              <w:jc w:val="left"/>
            </w:pPr>
            <w:r>
              <w:rPr>
                <w:b w:val="0"/>
                <w:color w:val="000000"/>
                <w:sz w:val="18"/>
              </w:rPr>
              <w:t>生态敏感性与局地条件</w:t>
            </w:r>
          </w:p>
        </w:tc>
        <w:tc>
          <w:tcPr>
            <w:tcW w:type="dxa" w:w="4422"/>
            <w:vAlign w:val="center"/>
            <w:tcMar>
              <w:top w:w="85" w:type="dxa"/>
              <w:left w:w="85" w:type="dxa"/>
              <w:bottom w:w="85" w:type="dxa"/>
              <w:right w:w="85" w:type="dxa"/>
            </w:tcMar>
          </w:tcPr>
          <w:p>
            <w:pPr>
              <w:spacing w:line="278" w:lineRule="auto" w:before="100" w:after="100"/>
              <w:jc w:val="left"/>
            </w:pPr>
            <w:r>
              <w:rPr>
                <w:b w:val="0"/>
                <w:color w:val="000000"/>
                <w:sz w:val="18"/>
              </w:rPr>
              <w:t>珊瑚类群、深度、既往白化、光照及水交换；按数据来源核查空间和时间代表性</w:t>
            </w:r>
          </w:p>
        </w:tc>
        <w:tc>
          <w:tcPr>
            <w:tcW w:type="dxa" w:w="3288"/>
            <w:vAlign w:val="center"/>
            <w:tcMar>
              <w:top w:w="85" w:type="dxa"/>
              <w:left w:w="85" w:type="dxa"/>
              <w:bottom w:w="85" w:type="dxa"/>
              <w:right w:w="85" w:type="dxa"/>
            </w:tcMar>
          </w:tcPr>
          <w:p>
            <w:pPr>
              <w:spacing w:line="278" w:lineRule="auto" w:before="100" w:after="100"/>
              <w:jc w:val="left"/>
            </w:pPr>
            <w:r>
              <w:rPr>
                <w:b w:val="0"/>
                <w:color w:val="000000"/>
                <w:sz w:val="18"/>
              </w:rPr>
              <w:t>不足以匹配时报告适用范围，保留更简化的局地热暴露模型</w:t>
            </w:r>
          </w:p>
        </w:tc>
      </w:tr>
      <w:tr>
        <w:trPr>
          <w:cantSplit/>
        </w:trPr>
        <w:tc>
          <w:tcPr>
            <w:tcW w:type="dxa" w:w="1701"/>
            <w:vAlign w:val="center"/>
            <w:tcMar>
              <w:top w:w="85" w:type="dxa"/>
              <w:left w:w="85" w:type="dxa"/>
              <w:bottom w:w="85" w:type="dxa"/>
              <w:right w:w="85" w:type="dxa"/>
            </w:tcMar>
          </w:tcPr>
          <w:p>
            <w:pPr>
              <w:spacing w:line="278" w:lineRule="auto" w:before="100" w:after="100"/>
              <w:jc w:val="left"/>
            </w:pPr>
            <w:r>
              <w:rPr>
                <w:b w:val="0"/>
                <w:color w:val="000000"/>
                <w:sz w:val="18"/>
              </w:rPr>
              <w:t>机制核查</w:t>
            </w:r>
          </w:p>
        </w:tc>
        <w:tc>
          <w:tcPr>
            <w:tcW w:type="dxa" w:w="4422"/>
            <w:vAlign w:val="center"/>
            <w:tcMar>
              <w:top w:w="85" w:type="dxa"/>
              <w:left w:w="85" w:type="dxa"/>
              <w:bottom w:w="85" w:type="dxa"/>
              <w:right w:w="85" w:type="dxa"/>
            </w:tcMar>
          </w:tcPr>
          <w:p>
            <w:pPr>
              <w:spacing w:line="278" w:lineRule="auto" w:before="100" w:after="100"/>
              <w:jc w:val="left"/>
            </w:pPr>
            <w:r>
              <w:rPr>
                <w:b w:val="0"/>
                <w:color w:val="000000"/>
                <w:sz w:val="18"/>
              </w:rPr>
              <w:t>独立实验中的共生藻、光合状态、氧化应激或脂质指标，用于检验选定解释</w:t>
            </w:r>
          </w:p>
        </w:tc>
        <w:tc>
          <w:tcPr>
            <w:tcW w:type="dxa" w:w="3288"/>
            <w:vAlign w:val="center"/>
            <w:tcMar>
              <w:top w:w="85" w:type="dxa"/>
              <w:left w:w="85" w:type="dxa"/>
              <w:bottom w:w="85" w:type="dxa"/>
              <w:right w:w="85" w:type="dxa"/>
            </w:tcMar>
          </w:tcPr>
          <w:p>
            <w:pPr>
              <w:spacing w:line="278" w:lineRule="auto" w:before="100" w:after="100"/>
              <w:jc w:val="left"/>
            </w:pPr>
            <w:r>
              <w:rPr>
                <w:b w:val="0"/>
                <w:color w:val="000000"/>
                <w:sz w:val="18"/>
              </w:rPr>
              <w:t>不作为全球业务预测中默认可获得的输入，也不从统计重要性反推这些指标</w:t>
            </w:r>
          </w:p>
        </w:tc>
      </w:tr>
    </w:tbl>
    <w:p>
      <w:pPr>
        <w:widowControl/>
        <w:spacing w:before="140"/>
        <w:jc w:val="both"/>
      </w:pPr>
      <w:r>
        <w:rPr>
          <w:b w:val="0"/>
        </w:rPr>
        <w:t>真实接入先核查观测能否支持目标日标签。若调查频率只能支持事件或季节尺度，应单独定义该尺度的任务，再讨论是否需要新增随访；不能用插值生成的白化日期维持日尺度预警设定。</w:t>
      </w:r>
    </w:p>
    <w:p>
      <w:pPr>
        <w:pStyle w:val="Heading2"/>
      </w:pPr>
      <w:r>
        <w:rPr>
          <w:b w:val="0"/>
          <w:color w:val="000000"/>
          <w:u w:val="none"/>
        </w:rPr>
        <w:t>2.5 真实礁区分布与预测空间</w:t>
      </w:r>
    </w:p>
    <w:p>
      <w:pPr>
        <w:widowControl/>
        <w:jc w:val="both"/>
      </w:pPr>
      <w:r>
        <w:rPr>
          <w:b w:val="0"/>
        </w:rPr>
        <w:t>Allen Coral Atlas 提供基于遥感制图的真实浅水珊瑚礁范围、地貌分区和底栖栖息地资料，可用于确定研究区域、配对环境网格及组织调查抽样。[15] 其覆盖受水深和水体透明度限制；底栖分类中的 coral/algae 为合并类别，不能解释为逐像元的活珊瑚覆盖率。[16] 礁区分布说明研究对象可能位于何处，白化与后续结局仍由各自的观测定义。</w:t>
      </w:r>
    </w:p>
    <w:p>
      <w:pPr>
        <w:widowControl/>
        <w:jc w:val="both"/>
      </w:pPr>
      <w:r>
        <w:t>Demo 已提供可缩放的真实地理底图、Atlas 官方站点定位入口及独立的在线地貌图层开关。2026 年 10 月 18 日核验时，官方图层目录可读，但地图图片请求返回 403，故默认关闭并显示加载状态，不以合成分布替代。未镜像或再分发全球数据。5 米栖息地像元不能把较粗热暴露数据变成同等精度的预测；历史验证还需审计制图版本的可获得日期。</w:t>
      </w:r>
    </w:p>
    <w:p>
      <w:pPr>
        <w:widowControl/>
        <w:jc w:val="both"/>
      </w:pPr>
      <w:r>
        <w:rPr>
          <w:b w:val="0"/>
        </w:rPr>
        <w:t>数据获取可使用官方提供的下载或地理服务。地图、测深及统计数据按官方所列 CC BY 4.0 条件署名；Planet 卫星影像另有许可，不能与派生地图混用授权。[16] 工程保留来源与版本说明，按实际所用产品核查引用和再分发条件。</w:t>
      </w:r>
    </w:p>
    <w:p>
      <w:pPr>
        <w:pStyle w:val="Heading1"/>
        <w:jc w:val="left"/>
      </w:pPr>
      <w:r>
        <w:rPr>
          <w:b w:val="0"/>
          <w:color w:val="000000"/>
          <w:u w:val="none"/>
        </w:rPr>
        <w:t>三、待检验的假设与实验职责</w:t>
      </w:r>
    </w:p>
    <w:p>
      <w:pPr>
        <w:pStyle w:val="Heading2"/>
        <w:jc w:val="left"/>
      </w:pPr>
      <w:r>
        <w:rPr>
          <w:b w:val="0"/>
          <w:color w:val="000000"/>
          <w:u w:val="none"/>
        </w:rPr>
        <w:t>3.1 复合环境与敏感性是否改变排序</w:t>
      </w:r>
    </w:p>
    <w:p>
      <w:pPr>
        <w:jc w:val="both"/>
      </w:pPr>
      <w:r>
        <w:rPr>
          <w:b w:val="0"/>
        </w:rPr>
        <w:t>H1：在热暴露及主要生态背景相近时，分别纳入硝酸盐与铵盐的信息，比仅使用合并营养盐指标更能区分未来白化风险。比较局地热暴露模型、加入光照和生态背景的模型、增加氮形态的加性模型，以及包含预登记热暴露×氮形态交互项的模型。各比较使用共同可用样本、相同外层划分和匹配的调参预算，并单独报告加入变量造成的样本覆盖变化。</w:t>
      </w:r>
    </w:p>
    <w:p>
      <w:pPr>
        <w:widowControl/>
        <w:jc w:val="both"/>
      </w:pPr>
      <w:r>
        <w:rPr>
          <w:b w:val="0"/>
        </w:rPr>
        <w:t>有实测扑草净时，再检验其与硝酸盐的交互是否提供增量信息。热胁迫×氮形态×扑草净的三重交互作为后续探索项，需有足够共同暴露样本和独立确认数据；所供实验尚未直接验证这一组合。实验文献中的方向用于提出假设，不强制模型只能得到该方向。</w:t>
      </w:r>
    </w:p>
    <w:p>
      <w:pPr>
        <w:widowControl/>
        <w:jc w:val="both"/>
      </w:pPr>
      <w:r>
        <w:rPr>
          <w:b w:val="0"/>
        </w:rPr>
        <w:t>若氮形态的增益在区域外验证中消失，或可由调查方法、深度、类群及监测强度解释，则不支持该条件下的预警增量价值。即使交互项提高预测质量，其过程解释仍需独立观测或实验。铵盐相关结果限定于研究的浓度和环境范围，不作为环境施加建议。</w:t>
      </w:r>
    </w:p>
    <w:p>
      <w:pPr>
        <w:pStyle w:val="Heading2"/>
        <w:jc w:val="left"/>
      </w:pPr>
      <w:r>
        <w:rPr>
          <w:b w:val="0"/>
          <w:color w:val="000000"/>
          <w:u w:val="none"/>
        </w:rPr>
        <w:t>3.2 先行环境信息是否超出局地解释</w:t>
      </w:r>
    </w:p>
    <w:p>
      <w:pPr>
        <w:jc w:val="both"/>
      </w:pPr>
      <w:r>
        <w:rPr>
          <w:b w:val="0"/>
        </w:rPr>
        <w:t>H2：在固定 H 后，不同输入滞后 L 的环境特征可能改变预测能力。比较预登记的滞后与无滞后候选，报告选择稳定性及跨年份变化。环境变量的持续性也会制造相似窗口表现，应同时检查持续性和季节解释，而不能将某一个高分窗口直接解释为响应时长。</w:t>
      </w:r>
    </w:p>
    <w:p>
      <w:pPr>
        <w:jc w:val="both"/>
      </w:pPr>
      <w:r>
        <w:rPr>
          <w:b w:val="0"/>
        </w:rPr>
        <w:t>H3：水动力相关的方向性环境连接可能提供局地变量和对称邻域之外的信息。真实研究应由流场或水团交换信息构建连接，并与相同模型容量的局地、邻域、反向连接及保留自相关结构的时间错位或分块置换对照比较。共同季节变化、共享气候驱动和空间自相关都可能产生类似信号。空间相关或方向模型胜出仅支持进一步核查，不能证明白化沿海流传播；真实的输运路径还需独立物理证据。</w:t>
      </w:r>
    </w:p>
    <w:p>
      <w:pPr>
        <w:pStyle w:val="Heading2"/>
        <w:jc w:val="left"/>
      </w:pPr>
      <w:r>
        <w:rPr>
          <w:b w:val="0"/>
          <w:color w:val="000000"/>
          <w:u w:val="none"/>
        </w:rPr>
        <w:t>3.3 可迁移性与预算选择分别检验</w:t>
      </w:r>
    </w:p>
    <w:p>
      <w:pPr>
        <w:jc w:val="both"/>
      </w:pPr>
      <w:r>
        <w:rPr>
          <w:b w:val="0"/>
        </w:rPr>
        <w:t>H4：上述候选关系可以在未参与选择的区域和后续日期保持。前向年份留出、区域整体留出及事件簇阻断共同限定评估；按调查来源、类群、深度和监测强度报告分层结果。需要更多独立区域后才讨论海盆尺度迁移，不能把两个抽象合成单元称为两个真实海盆。</w:t>
      </w:r>
    </w:p>
    <w:p>
      <w:pPr>
        <w:jc w:val="both"/>
      </w:pPr>
      <w:r>
        <w:rPr>
          <w:b w:val="0"/>
        </w:rPr>
        <w:t>H5：在候选空间和拟合次数相同的条件下，反馈驱动的选择可能比随机搜索更早获得较高的验证效用。比较完整轨迹、最佳效用随预算变化、实际用时和独立测试表现，并重复多个种子。候选数量有限时不预设渐近复杂度收益。默认无密钥模式采用可审计启发式；另提供真实大模型规划接口。二者分别标记，搜索效率是否提高由同口径比较结果决定，不能将启发式结果记作大模型成绩。</w:t>
      </w:r>
    </w:p>
    <w:p>
      <w:pPr>
        <w:pStyle w:val="Heading1"/>
        <w:jc w:val="left"/>
      </w:pPr>
      <w:r>
        <w:rPr>
          <w:b w:val="0"/>
          <w:color w:val="000000"/>
          <w:u w:val="none"/>
        </w:rPr>
        <w:t>四、Agent 环境与可执行接口</w:t>
      </w:r>
    </w:p>
    <w:p>
      <w:pPr>
        <w:pStyle w:val="Heading2"/>
        <w:jc w:val="left"/>
      </w:pPr>
      <w:r>
        <w:rPr>
          <w:b w:val="0"/>
          <w:color w:val="000000"/>
          <w:u w:val="none"/>
        </w:rPr>
        <w:t>4.1 大模型规划、科学模型计算、评估器守界</w:t>
      </w:r>
    </w:p>
    <w:p>
      <w:pPr>
        <w:jc w:val="both"/>
      </w:pPr>
      <w:r>
        <w:rPr>
          <w:b w:val="0"/>
        </w:rPr>
        <w:t>控制架构沿用 GlobalHAB 的科学 Agent：用户提出研究问题，大模型读取训练摘要及已完成的验证反馈，诊断当前可检验的条件并选择模型；工具层负责执行、计费预算及返回观测；评估器负责分区、指标和封存测试。语言模型不能生成预测分数或修改标签。大模型池负责规划，科学模型池负责数值计算，两者用途分别记录。</w:t>
      </w:r>
    </w:p>
    <w:p>
      <w:pPr>
        <w:jc w:val="both"/>
      </w:pPr>
      <w:r>
        <w:t>在运行前固定目标定义、数据版本、提前期、候选空间、训练/验证/测试分区、预算、效用与负对照。Agent 可以选择下一项未测试候选，不能改写标签、测试单元、基线或判定门槛。时滞与空间信号路线保留三种路线、四种滞后与两种 Logistic 表达，共 24 项。新增化学路线采用同一 Logistic 拟合器，比较热暴露背景、合并氮指标、氮形态、热与氮交互、共污染五组变量方案，各配四种滞后。完整字段为 20 项，缺污染物为 16 项，仅合并氮指标为 8 项；数据不足的模型被排除。</w:t>
      </w:r>
    </w:p>
    <w:p>
      <w:pPr>
        <w:jc w:val="both"/>
      </w:pPr>
      <w:r>
        <w:t>本版网页在浏览器中生成合成时间序列、拟合并评分。空间路线生成器定义 12 个抽象礁区、740 天和 8,880 条日记录，使用局地热压力、光照、敏感性与抽象相连单元的先前信号生成二元状态。该设计用于检查代码是否运行、时间索引是否一致以及不同候选能否产生不同结果；生成器不是珊瑚生理模型，抽象连接也不是观测流场。</w:t>
      </w:r>
    </w:p>
    <w:p>
      <w:pPr>
        <w:keepNext/>
      </w:pPr>
      <w:r>
        <w:drawing>
          <wp:inline xmlns:a="http://schemas.openxmlformats.org/drawingml/2006/main" xmlns:pic="http://schemas.openxmlformats.org/drawingml/2006/picture">
            <wp:extent cx="5903999" cy="17343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03999" cy="1734300"/>
                    </a:xfrm>
                    <a:prstGeom prst="rect"/>
                  </pic:spPr>
                </pic:pic>
              </a:graphicData>
            </a:graphic>
          </wp:inline>
        </w:drawing>
      </w:r>
    </w:p>
    <w:p>
      <w:pPr>
        <w:pStyle w:val="Caption"/>
        <w:jc w:val="left"/>
      </w:pPr>
      <w:r>
        <w:rPr>
          <w:b w:val="0"/>
        </w:rPr>
        <w:t>图 1 受预算约束的科研 Agent。反馈来自验证集；冻结后测试只用于评估与解读。</w:t>
      </w:r>
    </w:p>
    <w:p>
      <w:pPr>
        <w:pStyle w:val="Heading2"/>
        <w:jc w:val="left"/>
      </w:pPr>
      <w:r>
        <w:rPr>
          <w:b w:val="0"/>
          <w:color w:val="000000"/>
          <w:u w:val="none"/>
        </w:rPr>
        <w:t>4.2 观察、行动、反馈与停止</w:t>
      </w:r>
    </w:p>
    <w:tbl>
      <w:tblPr>
        <w:tblStyle w:val="TableGrid"/>
        <w:tblW w:type="auto" w:w="0"/>
        <w:tblLayout w:type="fixed"/>
        <w:tblLook w:firstColumn="1" w:firstRow="1" w:lastColumn="0" w:lastRow="0" w:noHBand="0" w:noVBand="1" w:val="04A0"/>
      </w:tblPr>
      <w:tblGrid>
        <w:gridCol w:w="3137"/>
        <w:gridCol w:w="3137"/>
        <w:gridCol w:w="3137"/>
      </w:tblGrid>
      <w:tr>
        <w:trPr>
          <w:cantSplit/>
          <w:tblHeader/>
        </w:trPr>
        <w:tc>
          <w:tcPr>
            <w:tcW w:type="dxa" w:w="3137"/>
            <w:shd w:fill="E1EEEB"/>
          </w:tcPr>
          <w:p>
            <w:pPr>
              <w:spacing w:after="100" w:before="100" w:line="283" w:lineRule="auto"/>
            </w:pPr>
            <w:r>
              <w:rPr>
                <w:b/>
                <w:sz w:val="18"/>
              </w:rPr>
              <w:t>工具</w:t>
            </w:r>
          </w:p>
        </w:tc>
        <w:tc>
          <w:tcPr>
            <w:tcW w:type="dxa" w:w="3137"/>
            <w:shd w:fill="E1EEEB"/>
          </w:tcPr>
          <w:p>
            <w:pPr>
              <w:spacing w:after="100" w:before="100" w:line="283" w:lineRule="auto"/>
            </w:pPr>
            <w:r>
              <w:rPr>
                <w:b/>
                <w:sz w:val="18"/>
              </w:rPr>
              <w:t>大模型可提出的动作</w:t>
            </w:r>
          </w:p>
        </w:tc>
        <w:tc>
          <w:tcPr>
            <w:tcW w:type="dxa" w:w="3137"/>
            <w:shd w:fill="E1EEEB"/>
          </w:tcPr>
          <w:p>
            <w:pPr>
              <w:spacing w:after="100" w:before="100" w:line="283" w:lineRule="auto"/>
            </w:pPr>
            <w:r>
              <w:rPr>
                <w:b/>
                <w:sz w:val="18"/>
              </w:rPr>
              <w:t>程序执行与约束</w:t>
            </w:r>
          </w:p>
        </w:tc>
      </w:tr>
      <w:tr>
        <w:trPr>
          <w:cantSplit/>
        </w:trPr>
        <w:tc>
          <w:tcPr>
            <w:tcW w:type="dxa" w:w="3137"/>
          </w:tcPr>
          <w:p>
            <w:pPr>
              <w:spacing w:after="100" w:before="100" w:line="283" w:lineRule="auto"/>
            </w:pPr>
            <w:r>
              <w:rPr>
                <w:b w:val="0"/>
                <w:sz w:val="18"/>
              </w:rPr>
              <w:t>inspect_data</w:t>
            </w:r>
          </w:p>
        </w:tc>
        <w:tc>
          <w:tcPr>
            <w:tcW w:type="dxa" w:w="3137"/>
          </w:tcPr>
          <w:p>
            <w:pPr>
              <w:spacing w:after="100" w:before="100" w:line="283" w:lineRule="auto"/>
            </w:pPr>
            <w:r>
              <w:rPr>
                <w:b w:val="0"/>
                <w:sz w:val="18"/>
              </w:rPr>
              <w:t>检查场景、训练摘要、数据规模与剩余预算</w:t>
            </w:r>
          </w:p>
        </w:tc>
        <w:tc>
          <w:tcPr>
            <w:tcW w:type="dxa" w:w="3137"/>
          </w:tcPr>
          <w:p>
            <w:pPr>
              <w:spacing w:after="100" w:before="100" w:line="283" w:lineRule="auto"/>
            </w:pPr>
            <w:r>
              <w:rPr>
                <w:b w:val="0"/>
                <w:sz w:val="18"/>
              </w:rPr>
              <w:t>不提供封存测试数据或标签</w:t>
            </w:r>
          </w:p>
        </w:tc>
      </w:tr>
      <w:tr>
        <w:trPr>
          <w:cantSplit/>
        </w:trPr>
        <w:tc>
          <w:tcPr>
            <w:tcW w:type="dxa" w:w="3137"/>
          </w:tcPr>
          <w:p>
            <w:pPr>
              <w:spacing w:after="100" w:before="100" w:line="283" w:lineRule="auto"/>
            </w:pPr>
            <w:r>
              <w:rPr>
                <w:b w:val="0"/>
                <w:sz w:val="18"/>
              </w:rPr>
              <w:t>select_models</w:t>
            </w:r>
          </w:p>
        </w:tc>
        <w:tc>
          <w:tcPr>
            <w:tcW w:type="dxa" w:w="3137"/>
          </w:tcPr>
          <w:p>
            <w:pPr>
              <w:spacing w:after="100" w:before="100" w:line="283" w:lineRule="auto"/>
            </w:pPr>
            <w:r>
              <w:rPr>
                <w:b w:val="0"/>
                <w:sz w:val="18"/>
              </w:rPr>
              <w:t>从科学模型目录选择至少两种模型</w:t>
            </w:r>
          </w:p>
        </w:tc>
        <w:tc>
          <w:tcPr>
            <w:tcW w:type="dxa" w:w="3137"/>
          </w:tcPr>
          <w:p>
            <w:pPr>
              <w:spacing w:after="100" w:before="100" w:line="283" w:lineRule="auto"/>
            </w:pPr>
            <w:r>
              <w:t>按研究路线和可用字段筛选模型；拒绝未知模型</w:t>
            </w:r>
          </w:p>
        </w:tc>
      </w:tr>
      <w:tr>
        <w:trPr>
          <w:cantSplit/>
        </w:trPr>
        <w:tc>
          <w:tcPr>
            <w:tcW w:type="dxa" w:w="3137"/>
          </w:tcPr>
          <w:p>
            <w:pPr>
              <w:spacing w:after="100" w:before="100" w:line="283" w:lineRule="auto"/>
            </w:pPr>
            <w:r>
              <w:rPr>
                <w:b w:val="0"/>
                <w:sz w:val="18"/>
              </w:rPr>
              <w:t>evaluate_hypothesis</w:t>
            </w:r>
          </w:p>
        </w:tc>
        <w:tc>
          <w:tcPr>
            <w:tcW w:type="dxa" w:w="3137"/>
          </w:tcPr>
          <w:p>
            <w:pPr>
              <w:spacing w:after="100" w:before="100" w:line="283" w:lineRule="auto"/>
            </w:pPr>
            <w:r>
              <w:rPr>
                <w:b w:val="0"/>
                <w:sz w:val="18"/>
              </w:rPr>
              <w:t>选择路线、输入滞后和模型组成的候选</w:t>
            </w:r>
          </w:p>
        </w:tc>
        <w:tc>
          <w:tcPr>
            <w:tcW w:type="dxa" w:w="3137"/>
          </w:tcPr>
          <w:p>
            <w:pPr>
              <w:spacing w:after="100" w:before="100" w:line="283" w:lineRule="auto"/>
            </w:pPr>
            <w:r>
              <w:rPr>
                <w:b w:val="0"/>
                <w:sz w:val="18"/>
              </w:rPr>
              <w:t>实际拟合，返回验证指标；每次消耗 1 次实验</w:t>
            </w:r>
          </w:p>
        </w:tc>
      </w:tr>
      <w:tr>
        <w:trPr>
          <w:cantSplit/>
        </w:trPr>
        <w:tc>
          <w:tcPr>
            <w:tcW w:type="dxa" w:w="3137"/>
          </w:tcPr>
          <w:p>
            <w:pPr>
              <w:spacing w:after="100" w:before="100" w:line="283" w:lineRule="auto"/>
            </w:pPr>
            <w:r>
              <w:rPr>
                <w:b w:val="0"/>
                <w:sz w:val="18"/>
              </w:rPr>
              <w:t>negative_control</w:t>
            </w:r>
          </w:p>
        </w:tc>
        <w:tc>
          <w:tcPr>
            <w:tcW w:type="dxa" w:w="3137"/>
          </w:tcPr>
          <w:p>
            <w:pPr>
              <w:spacing w:after="100" w:before="100" w:line="283" w:lineRule="auto"/>
            </w:pPr>
            <w:r>
              <w:t>为已运行候选提出该路线对应的两种对照</w:t>
            </w:r>
          </w:p>
        </w:tc>
        <w:tc>
          <w:tcPr>
            <w:tcW w:type="dxa" w:w="3137"/>
          </w:tcPr>
          <w:p>
            <w:pPr>
              <w:spacing w:after="100" w:before="100" w:line="283" w:lineRule="auto"/>
            </w:pPr>
            <w:r>
              <w:rPr>
                <w:b w:val="0"/>
                <w:sz w:val="18"/>
              </w:rPr>
              <w:t>分别拟合和评分；每次消耗 1 次实验</w:t>
            </w:r>
          </w:p>
        </w:tc>
      </w:tr>
      <w:tr>
        <w:trPr>
          <w:cantSplit/>
        </w:trPr>
        <w:tc>
          <w:tcPr>
            <w:tcW w:type="dxa" w:w="3137"/>
          </w:tcPr>
          <w:p>
            <w:pPr>
              <w:spacing w:after="100" w:before="100" w:line="283" w:lineRule="auto"/>
            </w:pPr>
            <w:r>
              <w:rPr>
                <w:b w:val="0"/>
                <w:sz w:val="18"/>
              </w:rPr>
              <w:t>finish</w:t>
            </w:r>
          </w:p>
        </w:tc>
        <w:tc>
          <w:tcPr>
            <w:tcW w:type="dxa" w:w="3137"/>
          </w:tcPr>
          <w:p>
            <w:pPr>
              <w:spacing w:after="100" w:before="100" w:line="283" w:lineRule="auto"/>
            </w:pPr>
            <w:r>
              <w:rPr>
                <w:b w:val="0"/>
                <w:sz w:val="18"/>
              </w:rPr>
              <w:t>锁定已经完成反例核查的候选</w:t>
            </w:r>
          </w:p>
        </w:tc>
        <w:tc>
          <w:tcPr>
            <w:tcW w:type="dxa" w:w="3137"/>
          </w:tcPr>
          <w:p>
            <w:pPr>
              <w:spacing w:after="100" w:before="100" w:line="283" w:lineRule="auto"/>
            </w:pPr>
            <w:r>
              <w:rPr>
                <w:b w:val="0"/>
                <w:sz w:val="18"/>
              </w:rPr>
              <w:t>需已比较两种模型、完成赢家的两种对照，随后才开启测试</w:t>
            </w:r>
          </w:p>
        </w:tc>
      </w:tr>
    </w:tbl>
    <w:p>
      <w:pPr>
        <w:spacing w:after="0"/>
      </w:pPr>
    </w:p>
    <w:p>
      <w:pPr>
        <w:jc w:val="both"/>
      </w:pPr>
      <w:r>
        <w:rPr>
          <w:b w:val="0"/>
        </w:rPr>
        <w:t>每轮规划返回工具名、参数和简短检验理由；执行器只接受白名单动作，不执行大模型生成的任意代码。验证反馈形成下一轮观察，低分或失败结果留在日志中。最终解读只读取已计算结果，不能回头修改本轮候选。这里的“自主”指受约束的实验选择，不代表脱离数据、预算和人为预登记目标。</w:t>
      </w:r>
    </w:p>
    <w:p>
      <w:pPr>
        <w:jc w:val="both"/>
      </w:pPr>
      <w:r>
        <w:rPr>
          <w:b w:val="0"/>
        </w:rPr>
        <w:t>预算分为实验、规划调用、输出长度和墙钟时间。真实大模型模式默认实验上限 B=8；候选与负对照均计入 B，至少预留 2 次反例核查。规划调用上限为 B+5，单次输出上限 800 tokens，单次请求超时 45 秒、规划循环约 240 秒；时间检查在调用前进行，正在进行的请求可能跨过循环时限，最多延后一个请求超时。记录服务返回的 token 用量，缺失时标为未知，不能伪报为零。可选最终解读另计 1 次调用、900 tokens 上限。连续 3 次非法规划后停止；未满足冻结条件就不读取测试集；服务失败不静默替换成规则结果。以上是演示预算，不是费用报价，也不是严格的全程 token 总额封顶。</w:t>
      </w:r>
    </w:p>
    <w:p>
      <w:pPr>
        <w:jc w:val="both"/>
      </w:pPr>
      <w:r>
        <w:rPr>
          <w:b w:val="0"/>
        </w:rPr>
        <w:t>无密钥模式用于开箱即用演示，按已观察最佳候选的相似性与覆盖选择下一项实验。效用 U=AP−0.5×Brier−0.2×ECE，仅用于展示取舍。启发式与随机策略各做 B 次候选拟合，固定负对照及最终复核另计；因此其“8 步”与大模型模式包含对照的“8 次实验”口径不同，不能直接比较成本。下一阶段效率研究应统一两种模式的总拟合数和服务调用成本。</w:t>
      </w:r>
    </w:p>
    <w:p>
      <w:pPr>
        <w:jc w:val="both"/>
      </w:pPr>
      <w:r>
        <w:rPr>
          <w:b w:val="0"/>
        </w:rPr>
        <w:t>任一评估分区阳性或阴性少于 10 条时显示 DEFER；这一数目是演示门控，不代表统计功效足够。真实数据还需在训练前核查来源、标签协议和变量发布时间。不满足条件时停止或缩小问题范围，而不是让语言模型补写缺失证据。</w:t>
      </w:r>
    </w:p>
    <w:p>
      <w:pPr>
        <w:pStyle w:val="Heading2"/>
        <w:jc w:val="left"/>
      </w:pPr>
      <w:r>
        <w:rPr>
          <w:b w:val="0"/>
          <w:color w:val="000000"/>
          <w:u w:val="none"/>
        </w:rPr>
        <w:t>4.3 三段隔离与泄漏检查</w:t>
      </w:r>
    </w:p>
    <w:p>
      <w:pPr>
        <w:jc w:val="both"/>
      </w:pPr>
      <w:r>
        <w:rPr>
          <w:b w:val="0"/>
        </w:rPr>
        <w:t>训练样本使用礁区 01–08、预测起点日 90–360；内层验证使用礁区 09–10、日 435–525；封存测试使用礁区 11–12、日 600–690，每 3 天取一个预测起点。最大提前期为 30 天时，训练标签最晚至日 390；验证最早输入滞后可达日 405，两者保持时间间隔。验证标签最晚至日 555，测试最早候选输入为日 570。</w:t>
      </w:r>
    </w:p>
    <w:p>
      <w:pPr>
        <w:jc w:val="both"/>
      </w:pPr>
      <w:r>
        <w:rPr>
          <w:b w:val="0"/>
        </w:rPr>
        <w:t>标准化参数只由训练样本估计。测试集不进入候选排序，各模式锁定赢家后才计算测试指标。当前站点标签按分区隔离，但相邻站点在预测截止前已知的环境信息允许作为跨站输入；这不是“测试区域全部信息不可见”的强归纳设定。真实部署若不能获得邻区环境数据，需在同等信息约束下重新评估。</w:t>
      </w:r>
    </w:p>
    <w:p>
      <w:pPr>
        <w:jc w:val="both"/>
      </w:pPr>
      <w:r>
        <w:rPr>
          <w:b w:val="0"/>
        </w:rPr>
        <w:t>程序测试覆盖模型目录脱敏、服务协议、模拟大模型的工具闭环、拒绝非法规划及过早读取测试集，以及随机种子复现、不同提前期和候选的时间索引、指标的基本情形、预算与动作不重复、选择对已完成反馈的响应，以及篡改封存测试标签不影响探索轨迹。浏览器中的隔离属于程序流程约束，公开源码并不构成对人为查看合成测试标签的安全隔离；正式盲测应由独立评估进程保管标签。</w:t>
      </w:r>
    </w:p>
    <w:p>
      <w:pPr>
        <w:pStyle w:val="Heading2"/>
      </w:pPr>
      <w:r>
        <w:rPr>
          <w:b w:val="0"/>
          <w:color w:val="000000"/>
          <w:u w:val="none"/>
        </w:rPr>
        <w:t>4.4 将研究依据用于规划和模型选择</w:t>
      </w:r>
    </w:p>
    <w:p>
      <w:pPr>
        <w:widowControl/>
        <w:jc w:val="both"/>
      </w:pPr>
      <w:r>
        <w:rPr>
          <w:b w:val="0"/>
        </w:rPr>
        <w:t>真实数据阶段为已核实论文建立简短证据条目，记录研究对象、暴露条件、观测终点、支持的假设及限制。大模型读取这些条目与当前数据摘要后，先判断哪些问题具备可检验条件，再从预登记模型池选择。例如，只有硝酸盐记录时可检验其附加信息，但不能宣称已比较硝酸盐与铵盐；只有土地利用代理时只能研究输入背景，不能输出扑草净暴露结论。</w:t>
      </w:r>
    </w:p>
    <w:p>
      <w:pPr>
        <w:widowControl/>
        <w:jc w:val="both"/>
      </w:pPr>
      <w:r>
        <w:t>证据条目提供候选依据，预测分数由数值模型计算，模型参数由训练资料估计。规划日志记录本次选择所依据的来源、可用变量、拟合成本和拟排除的解释；矛盾结果同样保留。新增氮形态或污染物模型须在测试开启前登记，并为其设置匹配对照。Demo 现已接入七条文献证据摘要及化学候选目录。来源只提供假设依据，浓度和标签仍为合成。化学路线另设移除化学信息与错时输入对照，不能据预测差异宣称因果机制成立。</w:t>
      </w:r>
    </w:p>
    <w:p>
      <w:pPr>
        <w:pStyle w:val="Heading1"/>
        <w:jc w:val="left"/>
      </w:pPr>
      <w:r>
        <w:rPr>
          <w:b w:val="0"/>
          <w:color w:val="000000"/>
          <w:u w:val="none"/>
        </w:rPr>
        <w:t>五、什么结果才支持科学主张</w:t>
      </w:r>
    </w:p>
    <w:p>
      <w:pPr>
        <w:pStyle w:val="Heading2"/>
        <w:jc w:val="left"/>
      </w:pPr>
      <w:r>
        <w:rPr>
          <w:b w:val="0"/>
          <w:color w:val="000000"/>
          <w:u w:val="none"/>
        </w:rPr>
        <w:t>5.1 基线与负对照</w:t>
      </w:r>
    </w:p>
    <w:p>
      <w:pPr>
        <w:jc w:val="both"/>
      </w:pPr>
      <w:r>
        <w:t>空间路线已执行的参照包括训练发生率、固定局地加性 Logistic、同预算随机搜索，以及预设“方向性/滞后 7 天/交互项”候选的正向、反向和输入额外提前 31 天对照。时间对照保持所有输入在预测起点以前，不作为完整置换显著性检验。方向对照固定注册，不能事后改用最有利的候选来展示。</w:t>
      </w:r>
    </w:p>
    <w:p>
      <w:pPr>
        <w:jc w:val="both"/>
      </w:pPr>
      <w:r>
        <w:rPr>
          <w:b w:val="0"/>
        </w:rPr>
        <w:t>真实数据验证需要补充季节气候态、可用时的状态持续性、局地 DHW/热暴露模型、局地与复合条件下的强树模型或其他合适模型。比较应匹配输入信息、模型容量、调参预算与外层划分。对照保留其功能：局地模型检验空间信息，反向和错时检验方向/时序特异性，随机搜索检验选择策略，不能相互替代。</w:t>
      </w:r>
    </w:p>
    <w:p>
      <w:pPr>
        <w:pStyle w:val="Heading2"/>
        <w:jc w:val="left"/>
      </w:pPr>
      <w:r>
        <w:rPr>
          <w:b w:val="0"/>
          <w:color w:val="000000"/>
          <w:u w:val="none"/>
        </w:rPr>
        <w:t>5.2 评价与判定</w:t>
      </w:r>
    </w:p>
    <w:p>
      <w:pPr>
        <w:jc w:val="both"/>
      </w:pPr>
      <w:r>
        <w:rPr>
          <w:b w:val="0"/>
        </w:rPr>
        <w:t>排序使用 Average Precision（AP）；概率质量使用 Brier score、相对于训练发生率预测的 Brier skill 和分箱 ECE；监测用途报告固定 Top-20% 容量下的召回、选中条数与误报条数。AP 不与插值积分定义的 PR-AUC 混称；概率未做独立校准时，不将低 ECE 宣称为已完成区域校准。召回率的分母、容量取整规则和事件定义同时公开。</w:t>
      </w:r>
    </w:p>
    <w:p>
      <w:pPr>
        <w:jc w:val="both"/>
      </w:pPr>
      <w:r>
        <w:rPr>
          <w:b w:val="0"/>
        </w:rPr>
        <w:t>真实研究的主要检验可预登记为：候选相对最强匹配基线的 AP 增量在区域/事件块重采样下具有正的区间下界，Brier skill 为正，且固定容量收益不依赖单一来源。阈值需按先导数据、事件频率和可接受误报成本确定。原材料中无条件“提高 20%”的表述不作为当前验收承诺。若方向对照相当、区域外增益消失或标签校正改变结果，应收缩对应假设；事件不足则暂缓判断。</w:t>
      </w:r>
    </w:p>
    <w:p>
      <w:pPr>
        <w:jc w:val="both"/>
      </w:pPr>
      <w:r>
        <w:rPr>
          <w:b w:val="0"/>
        </w:rPr>
        <w:t>重复日期与同一热浪事件不能当作独立重复。正式研究应按礁区与完整事件块估计不确定性，保留嵌套选择与多候选比较影响。当前 Demo 给出描述性分数，没有输出置信区间或宣称统计显著。白化持续时间、恢复率和死亡率需要各自的样本定义与验证集，不能从本版 AP 派生。</w:t>
      </w:r>
    </w:p>
    <w:p>
      <w:pPr>
        <w:pStyle w:val="Heading2"/>
      </w:pPr>
      <w:r>
        <w:rPr>
          <w:b w:val="0"/>
          <w:color w:val="000000"/>
          <w:u w:val="none"/>
        </w:rPr>
        <w:t>5.3 区分预测验证与过程核查</w:t>
      </w:r>
    </w:p>
    <w:p>
      <w:pPr>
        <w:widowControl/>
        <w:jc w:val="both"/>
      </w:pPr>
      <w:r>
        <w:rPr>
          <w:b w:val="0"/>
        </w:rPr>
        <w:t>首轮真实研究可优先审计北部南海等已有长期生态背景研究的区域，但进入短期预警研究仍取决于原始数据访问、白化调查日期和环境观测是否满足要求。[8] 先在有共同观测的样本上比较热暴露、局地背景、氮形态和共污染模型，再用未参与选择的区域或事件检验。逐项移除新增因子，检查其是否改变风险排序、概率质量及固定容量下的调查命中；不能仅凭拟合优度或变量重要性宣称增益。</w:t>
      </w:r>
    </w:p>
    <w:p>
      <w:pPr>
        <w:widowControl/>
        <w:jc w:val="both"/>
      </w:pPr>
      <w:r>
        <w:rPr>
          <w:b w:val="0"/>
        </w:rPr>
        <w:t>预测改善后，再针对最稳定的条件差异开展独立核查。例如，用与现场物种和浓度相容的实验检验氮形态差异，或用原位温度与流场记录核查先行信号。脂质响应、污染物毒性及水团交换分别需要相应过程证据。研究最终应区分三类结果：在何处改善预警，哪些环境组合值得补充观测，以及哪些过程解释获得独立支持。</w:t>
      </w:r>
    </w:p>
    <w:p>
      <w:pPr>
        <w:pStyle w:val="Heading1"/>
        <w:jc w:val="left"/>
      </w:pPr>
      <w:r>
        <w:rPr>
          <w:b w:val="0"/>
          <w:color w:val="000000"/>
          <w:u w:val="none"/>
        </w:rPr>
        <w:t>六、当前 Demo 的可复现结果与展示范围</w:t>
      </w:r>
    </w:p>
    <w:p>
      <w:pPr>
        <w:pStyle w:val="Heading2"/>
        <w:jc w:val="left"/>
      </w:pPr>
      <w:r>
        <w:rPr>
          <w:b w:val="0"/>
          <w:color w:val="000000"/>
          <w:u w:val="none"/>
        </w:rPr>
        <w:t>6.1 固定配置的实际运行</w:t>
      </w:r>
    </w:p>
    <w:p>
      <w:pPr>
        <w:jc w:val="both"/>
      </w:pPr>
      <w:r>
        <w:rPr>
          <w:b w:val="0"/>
        </w:rPr>
        <w:t>2026 年 10 月 18 日运行的默认配置为种子 42、H=14 天、每种启发式/随机策略 8 步。这是无密钥规则模式的运行，不是大模型实验成绩。内层验证选择“方向性连接、L=7 天、加性 Logistic”；封存测试共 62 个礁区—日期样本，其中 23 个合成阳性。以下分数来自本版程序执行，不沿用 GlobalHAB 或附件旧原型的成绩。</w:t>
      </w:r>
    </w:p>
    <w:tbl>
      <w:tblPr>
        <w:tblStyle w:val="TableGrid"/>
        <w:tblW w:type="auto" w:w="0"/>
        <w:tblLayout w:type="fixed"/>
        <w:tblLook w:firstColumn="1" w:firstRow="1" w:lastColumn="0" w:lastRow="0" w:noHBand="0" w:noVBand="1" w:val="04A0"/>
      </w:tblPr>
      <w:tblGrid>
        <w:gridCol w:w="1882"/>
        <w:gridCol w:w="1882"/>
        <w:gridCol w:w="1882"/>
        <w:gridCol w:w="1882"/>
        <w:gridCol w:w="1882"/>
      </w:tblGrid>
      <w:tr>
        <w:trPr>
          <w:cantSplit/>
          <w:tblHeader/>
        </w:trPr>
        <w:tc>
          <w:tcPr>
            <w:tcW w:type="dxa" w:w="1882"/>
            <w:shd w:fill="E1EEEB"/>
          </w:tcPr>
          <w:p>
            <w:pPr>
              <w:spacing w:after="100" w:before="100" w:line="283" w:lineRule="auto"/>
            </w:pPr>
            <w:r>
              <w:rPr>
                <w:b/>
                <w:sz w:val="18"/>
              </w:rPr>
              <w:t>方法</w:t>
            </w:r>
          </w:p>
        </w:tc>
        <w:tc>
          <w:tcPr>
            <w:tcW w:type="dxa" w:w="1882"/>
            <w:shd w:fill="E1EEEB"/>
          </w:tcPr>
          <w:p>
            <w:pPr>
              <w:spacing w:after="100" w:before="100" w:line="283" w:lineRule="auto"/>
            </w:pPr>
            <w:r>
              <w:rPr>
                <w:b/>
                <w:sz w:val="18"/>
              </w:rPr>
              <w:t>测试 AP</w:t>
            </w:r>
          </w:p>
        </w:tc>
        <w:tc>
          <w:tcPr>
            <w:tcW w:type="dxa" w:w="1882"/>
            <w:shd w:fill="E1EEEB"/>
          </w:tcPr>
          <w:p>
            <w:pPr>
              <w:spacing w:after="100" w:before="100" w:line="283" w:lineRule="auto"/>
            </w:pPr>
            <w:r>
              <w:rPr>
                <w:b/>
                <w:sz w:val="18"/>
              </w:rPr>
              <w:t>Brier</w:t>
            </w:r>
          </w:p>
        </w:tc>
        <w:tc>
          <w:tcPr>
            <w:tcW w:type="dxa" w:w="1882"/>
            <w:shd w:fill="E1EEEB"/>
          </w:tcPr>
          <w:p>
            <w:pPr>
              <w:spacing w:after="100" w:before="100" w:line="283" w:lineRule="auto"/>
            </w:pPr>
            <w:r>
              <w:rPr>
                <w:b/>
                <w:sz w:val="18"/>
              </w:rPr>
              <w:t>Brier skill</w:t>
            </w:r>
          </w:p>
        </w:tc>
        <w:tc>
          <w:tcPr>
            <w:tcW w:type="dxa" w:w="1882"/>
            <w:shd w:fill="E1EEEB"/>
          </w:tcPr>
          <w:p>
            <w:pPr>
              <w:spacing w:after="100" w:before="100" w:line="283" w:lineRule="auto"/>
            </w:pPr>
            <w:r>
              <w:rPr>
                <w:b/>
                <w:sz w:val="18"/>
              </w:rPr>
              <w:t>Top-20% 召回</w:t>
            </w:r>
          </w:p>
        </w:tc>
      </w:tr>
      <w:tr>
        <w:trPr>
          <w:cantSplit/>
        </w:trPr>
        <w:tc>
          <w:tcPr>
            <w:tcW w:type="dxa" w:w="1882"/>
          </w:tcPr>
          <w:p>
            <w:pPr>
              <w:spacing w:after="100" w:before="100" w:line="283" w:lineRule="auto"/>
            </w:pPr>
            <w:r>
              <w:rPr>
                <w:b w:val="0"/>
                <w:sz w:val="18"/>
              </w:rPr>
              <w:t>自适应选择</w:t>
            </w:r>
          </w:p>
        </w:tc>
        <w:tc>
          <w:tcPr>
            <w:tcW w:type="dxa" w:w="1882"/>
          </w:tcPr>
          <w:p>
            <w:pPr>
              <w:spacing w:after="100" w:before="100" w:line="283" w:lineRule="auto"/>
            </w:pPr>
            <w:r>
              <w:rPr>
                <w:b w:val="0"/>
                <w:sz w:val="18"/>
              </w:rPr>
              <w:t>0.621</w:t>
            </w:r>
          </w:p>
        </w:tc>
        <w:tc>
          <w:tcPr>
            <w:tcW w:type="dxa" w:w="1882"/>
          </w:tcPr>
          <w:p>
            <w:pPr>
              <w:spacing w:after="100" w:before="100" w:line="283" w:lineRule="auto"/>
            </w:pPr>
            <w:r>
              <w:rPr>
                <w:b w:val="0"/>
                <w:sz w:val="18"/>
              </w:rPr>
              <w:t>0.206</w:t>
            </w:r>
          </w:p>
        </w:tc>
        <w:tc>
          <w:tcPr>
            <w:tcW w:type="dxa" w:w="1882"/>
          </w:tcPr>
          <w:p>
            <w:pPr>
              <w:spacing w:after="100" w:before="100" w:line="283" w:lineRule="auto"/>
            </w:pPr>
            <w:r>
              <w:rPr>
                <w:b w:val="0"/>
                <w:sz w:val="18"/>
              </w:rPr>
              <w:t>0.139</w:t>
            </w:r>
          </w:p>
        </w:tc>
        <w:tc>
          <w:tcPr>
            <w:tcW w:type="dxa" w:w="1882"/>
          </w:tcPr>
          <w:p>
            <w:pPr>
              <w:spacing w:after="100" w:before="100" w:line="283" w:lineRule="auto"/>
            </w:pPr>
            <w:r>
              <w:rPr>
                <w:b w:val="0"/>
                <w:sz w:val="18"/>
              </w:rPr>
              <w:t>39.1%</w:t>
            </w:r>
          </w:p>
        </w:tc>
      </w:tr>
      <w:tr>
        <w:trPr>
          <w:cantSplit/>
        </w:trPr>
        <w:tc>
          <w:tcPr>
            <w:tcW w:type="dxa" w:w="1882"/>
          </w:tcPr>
          <w:p>
            <w:pPr>
              <w:spacing w:after="100" w:before="100" w:line="283" w:lineRule="auto"/>
            </w:pPr>
            <w:r>
              <w:rPr>
                <w:b w:val="0"/>
                <w:sz w:val="18"/>
              </w:rPr>
              <w:t>同预算随机搜索</w:t>
            </w:r>
          </w:p>
        </w:tc>
        <w:tc>
          <w:tcPr>
            <w:tcW w:type="dxa" w:w="1882"/>
          </w:tcPr>
          <w:p>
            <w:pPr>
              <w:spacing w:after="100" w:before="100" w:line="283" w:lineRule="auto"/>
            </w:pPr>
            <w:r>
              <w:rPr>
                <w:b w:val="0"/>
                <w:sz w:val="18"/>
              </w:rPr>
              <w:t>0.340</w:t>
            </w:r>
          </w:p>
        </w:tc>
        <w:tc>
          <w:tcPr>
            <w:tcW w:type="dxa" w:w="1882"/>
          </w:tcPr>
          <w:p>
            <w:pPr>
              <w:spacing w:after="100" w:before="100" w:line="283" w:lineRule="auto"/>
            </w:pPr>
            <w:r>
              <w:rPr>
                <w:b w:val="0"/>
                <w:sz w:val="18"/>
              </w:rPr>
              <w:t>0.259</w:t>
            </w:r>
          </w:p>
        </w:tc>
        <w:tc>
          <w:tcPr>
            <w:tcW w:type="dxa" w:w="1882"/>
          </w:tcPr>
          <w:p>
            <w:pPr>
              <w:spacing w:after="100" w:before="100" w:line="283" w:lineRule="auto"/>
            </w:pPr>
            <w:r>
              <w:rPr>
                <w:b w:val="0"/>
                <w:sz w:val="18"/>
              </w:rPr>
              <w:t>−0.083</w:t>
            </w:r>
          </w:p>
        </w:tc>
        <w:tc>
          <w:tcPr>
            <w:tcW w:type="dxa" w:w="1882"/>
          </w:tcPr>
          <w:p>
            <w:pPr>
              <w:spacing w:after="100" w:before="100" w:line="283" w:lineRule="auto"/>
            </w:pPr>
            <w:r>
              <w:rPr>
                <w:b w:val="0"/>
                <w:sz w:val="18"/>
              </w:rPr>
              <w:t>17.4%</w:t>
            </w:r>
          </w:p>
        </w:tc>
      </w:tr>
      <w:tr>
        <w:trPr>
          <w:cantSplit/>
        </w:trPr>
        <w:tc>
          <w:tcPr>
            <w:tcW w:type="dxa" w:w="1882"/>
          </w:tcPr>
          <w:p>
            <w:pPr>
              <w:spacing w:after="100" w:before="100" w:line="283" w:lineRule="auto"/>
            </w:pPr>
            <w:r>
              <w:rPr>
                <w:b w:val="0"/>
                <w:sz w:val="18"/>
              </w:rPr>
              <w:t>固定局地基线</w:t>
            </w:r>
          </w:p>
        </w:tc>
        <w:tc>
          <w:tcPr>
            <w:tcW w:type="dxa" w:w="1882"/>
          </w:tcPr>
          <w:p>
            <w:pPr>
              <w:spacing w:after="100" w:before="100" w:line="283" w:lineRule="auto"/>
            </w:pPr>
            <w:r>
              <w:rPr>
                <w:b w:val="0"/>
                <w:sz w:val="18"/>
              </w:rPr>
              <w:t>0.596</w:t>
            </w:r>
          </w:p>
        </w:tc>
        <w:tc>
          <w:tcPr>
            <w:tcW w:type="dxa" w:w="1882"/>
          </w:tcPr>
          <w:p>
            <w:pPr>
              <w:spacing w:after="100" w:before="100" w:line="283" w:lineRule="auto"/>
            </w:pPr>
            <w:r>
              <w:rPr>
                <w:b w:val="0"/>
                <w:sz w:val="18"/>
              </w:rPr>
              <w:t>0.234</w:t>
            </w:r>
          </w:p>
        </w:tc>
        <w:tc>
          <w:tcPr>
            <w:tcW w:type="dxa" w:w="1882"/>
          </w:tcPr>
          <w:p>
            <w:pPr>
              <w:spacing w:after="100" w:before="100" w:line="283" w:lineRule="auto"/>
            </w:pPr>
            <w:r>
              <w:rPr>
                <w:b w:val="0"/>
                <w:sz w:val="18"/>
              </w:rPr>
              <w:t>0.022</w:t>
            </w:r>
          </w:p>
        </w:tc>
        <w:tc>
          <w:tcPr>
            <w:tcW w:type="dxa" w:w="1882"/>
          </w:tcPr>
          <w:p>
            <w:pPr>
              <w:spacing w:after="100" w:before="100" w:line="283" w:lineRule="auto"/>
            </w:pPr>
            <w:r>
              <w:rPr>
                <w:b w:val="0"/>
                <w:sz w:val="18"/>
              </w:rPr>
              <w:t>39.1%</w:t>
            </w:r>
          </w:p>
        </w:tc>
      </w:tr>
      <w:tr>
        <w:trPr>
          <w:cantSplit/>
        </w:trPr>
        <w:tc>
          <w:tcPr>
            <w:tcW w:type="dxa" w:w="1882"/>
          </w:tcPr>
          <w:p>
            <w:pPr>
              <w:spacing w:after="100" w:before="100" w:line="283" w:lineRule="auto"/>
            </w:pPr>
            <w:r>
              <w:rPr>
                <w:b w:val="0"/>
                <w:sz w:val="18"/>
              </w:rPr>
              <w:t>训练发生率参照</w:t>
            </w:r>
          </w:p>
        </w:tc>
        <w:tc>
          <w:tcPr>
            <w:tcW w:type="dxa" w:w="1882"/>
          </w:tcPr>
          <w:p>
            <w:pPr>
              <w:spacing w:after="100" w:before="100" w:line="283" w:lineRule="auto"/>
            </w:pPr>
            <w:r>
              <w:rPr>
                <w:b w:val="0"/>
                <w:sz w:val="18"/>
              </w:rPr>
              <w:t>0.371</w:t>
            </w:r>
          </w:p>
        </w:tc>
        <w:tc>
          <w:tcPr>
            <w:tcW w:type="dxa" w:w="1882"/>
          </w:tcPr>
          <w:p>
            <w:pPr>
              <w:spacing w:after="100" w:before="100" w:line="283" w:lineRule="auto"/>
            </w:pPr>
            <w:r>
              <w:rPr>
                <w:b w:val="0"/>
                <w:sz w:val="18"/>
              </w:rPr>
              <w:t>0.239</w:t>
            </w:r>
          </w:p>
        </w:tc>
        <w:tc>
          <w:tcPr>
            <w:tcW w:type="dxa" w:w="1882"/>
          </w:tcPr>
          <w:p>
            <w:pPr>
              <w:spacing w:after="100" w:before="100" w:line="283" w:lineRule="auto"/>
            </w:pPr>
            <w:r>
              <w:rPr>
                <w:b w:val="0"/>
                <w:sz w:val="18"/>
              </w:rPr>
              <w:t>0.000</w:t>
            </w:r>
          </w:p>
        </w:tc>
        <w:tc>
          <w:tcPr>
            <w:tcW w:type="dxa" w:w="1882"/>
          </w:tcPr>
          <w:p>
            <w:pPr>
              <w:spacing w:after="100" w:before="100" w:line="283" w:lineRule="auto"/>
            </w:pPr>
            <w:r>
              <w:rPr>
                <w:b w:val="0"/>
                <w:sz w:val="18"/>
              </w:rPr>
              <w:t>17.4%</w:t>
            </w:r>
          </w:p>
        </w:tc>
      </w:tr>
    </w:tbl>
    <w:p>
      <w:pPr>
        <w:spacing w:after="0"/>
      </w:pPr>
    </w:p>
    <w:p>
      <w:pPr>
        <w:jc w:val="both"/>
      </w:pPr>
      <w:r>
        <w:rPr>
          <w:b w:val="0"/>
        </w:rPr>
        <w:t>自适应候选相对局地基线的 AP 增量为 0.0255；两者在 Top-20% 容量下都选中 13 条、命中 9 条并产生 4 条误报。因此该次运行呈现排序和概率分数差异，没有显示固定调查容量下的额外覆盖收益。常数概率的 Top-k 并列按稳定索引打破，其召回不具有策略含义。</w:t>
      </w:r>
    </w:p>
    <w:p>
      <w:pPr>
        <w:jc w:val="both"/>
      </w:pPr>
      <w:r>
        <w:rPr>
          <w:b w:val="0"/>
        </w:rPr>
        <w:t>固定方向候选的正向、反向、错时测试 AP 分别为 0.621、0.528、0.607。错时分数接近正向结果，提示生成序列的时间持续性仍可提供信息；这些结果不能用于证明真实方向机制或精确识别隐藏延迟。</w:t>
      </w:r>
    </w:p>
    <w:p>
      <w:pPr>
        <w:keepNext/>
      </w:pPr>
      <w:r>
        <w:drawing>
          <wp:inline xmlns:a="http://schemas.openxmlformats.org/drawingml/2006/main" xmlns:pic="http://schemas.openxmlformats.org/drawingml/2006/picture">
            <wp:extent cx="5903999" cy="2027636"/>
            <wp:docPr id="3" name="Picture 3"/>
            <wp:cNvGraphicFramePr>
              <a:graphicFrameLocks noChangeAspect="1"/>
            </wp:cNvGraphicFramePr>
            <a:graphic>
              <a:graphicData uri="http://schemas.openxmlformats.org/drawingml/2006/picture">
                <pic:pic>
                  <pic:nvPicPr>
                    <pic:cNvPr id="0" name="benchmark.png"/>
                    <pic:cNvPicPr/>
                  </pic:nvPicPr>
                  <pic:blipFill>
                    <a:blip r:embed="rId12"/>
                    <a:stretch>
                      <a:fillRect/>
                    </a:stretch>
                  </pic:blipFill>
                  <pic:spPr>
                    <a:xfrm>
                      <a:off x="0" y="0"/>
                      <a:ext cx="5903999" cy="2027636"/>
                    </a:xfrm>
                    <a:prstGeom prst="rect"/>
                  </pic:spPr>
                </pic:pic>
              </a:graphicData>
            </a:graphic>
          </wp:inline>
        </w:drawing>
      </w:r>
    </w:p>
    <w:p>
      <w:pPr>
        <w:pStyle w:val="Caption"/>
        <w:jc w:val="left"/>
      </w:pPr>
      <w:r>
        <w:rPr>
          <w:b w:val="0"/>
        </w:rPr>
        <w:t>图 2 默认合成运行（种子42，H=14，候选预算8）。左：已完成实验的最佳验证效用；右：锁定候选后的测试AP。规则模式结果，不是大模型实测成绩。</w:t>
      </w:r>
    </w:p>
    <w:p>
      <w:pPr>
        <w:pStyle w:val="Heading2"/>
        <w:jc w:val="left"/>
      </w:pPr>
      <w:r>
        <w:rPr>
          <w:b w:val="0"/>
          <w:color w:val="000000"/>
          <w:u w:val="none"/>
        </w:rPr>
        <w:t>6.2 多种子比较限定效率主张</w:t>
      </w:r>
    </w:p>
    <w:p>
      <w:pPr>
        <w:jc w:val="both"/>
      </w:pPr>
      <w:r>
        <w:rPr>
          <w:b w:val="0"/>
        </w:rPr>
        <w:t>在种子 1–20、相同 H=14 天和 8 步预算下，自适应、随机和局地模型的平均测试 AP 分别为 0.542、0.585、0.417。自适应在 5/20 次运行中超过随机搜索，在 17/20 次中超过局地基线。3 次运行触发小样本 DEFER；上述均值保留全部运行，用于描述软件行为，不将其作为通过门控的统计估计。</w:t>
      </w:r>
    </w:p>
    <w:p>
      <w:pPr>
        <w:jc w:val="both"/>
      </w:pPr>
      <w:r>
        <w:rPr>
          <w:b w:val="0"/>
        </w:rPr>
        <w:t>这组结果支持当前系统已完成反馈选择和对照评估，也表明现有启发式尚未建立相对随机搜索的效率优势。H5 因此保留为待检验问题。后续策略改动应在新的封存生成条件和真实数据上评价，不能反复利用本组测试分数调优后继续称其为盲测。</w:t>
      </w:r>
    </w:p>
    <w:p>
      <w:pPr>
        <w:pStyle w:val="Heading2"/>
        <w:jc w:val="left"/>
      </w:pPr>
      <w:r>
        <w:rPr>
          <w:b w:val="0"/>
          <w:color w:val="000000"/>
          <w:u w:val="none"/>
        </w:rPr>
        <w:t>6.3 网站可演示的内容</w:t>
      </w:r>
    </w:p>
    <w:p>
      <w:pPr>
        <w:jc w:val="both"/>
      </w:pPr>
      <w:r>
        <w:rPr>
          <w:b w:val="0"/>
        </w:rPr>
        <w:t>全球风险页使用真实的 Natural Earth 陆地轮廓，[7] 显示 12 个地理演示锚点；数值、调查、事件报告与随访记录均为合成内容。首页的 0–100 风险量由公开的情景公式生成，与实验室拟合概率分别计算。切换提前期、海盆、证据图层和站点，调整热压力、光照或交换条件，均不会把缺失白化证据改写成确认事件。</w:t>
      </w:r>
    </w:p>
    <w:p>
      <w:pPr>
        <w:jc w:val="both"/>
      </w:pPr>
      <w:r>
        <w:t>实验室页面提供时滞与空间信号、氮形态与共污染两条路线。规则模式返回完整轨迹、预算—最佳效用曲线、随机参照、封存测试与发现卡。真实大模型模式提供研究问题输入、模型目录、真实连接检查、工具行动时间线、实验计数和冻结后的独立评估；需通过工程服务端配置密钥，静态托管不执行服务端模型调用。当前通过的是协议和模拟服务测试；未提供用户密钥，尚未完成远程模型实测。两类结果均可导出 JSON。站点卡、优先清单与简报可分别导出。地图不表示全球礁区完整覆盖；没有接入实时 NOAA 数据、真实白化照片识别、酸化/风暴过程模型或死亡预测器。生态后果页只用独立的模拟随访案例说明所需证据。</w:t>
      </w:r>
    </w:p>
    <w:p>
      <w:pPr>
        <w:widowControl/>
        <w:jc w:val="both"/>
      </w:pPr>
      <w:r>
        <w:t>新增化学合成器版本为 coralbleach-compound-v1.1.0，独立于第六节空间路线结果，不改写旧分数。网站增加固定合并氮浓度下的形态比较图、模型可用性展示，以及无化学增量和区域效应改变两类反例情景。化学字段和响应方向由合成公式设定，系数没有从论文提取；页面指数及实验分数均不能验证这些因子的真实珊瑚效应。</w:t>
      </w:r>
    </w:p>
    <w:p>
      <w:pPr>
        <w:pStyle w:val="Heading1"/>
        <w:jc w:val="left"/>
      </w:pPr>
      <w:r>
        <w:rPr>
          <w:b w:val="0"/>
          <w:color w:val="000000"/>
          <w:u w:val="none"/>
        </w:rPr>
        <w:t>七、从 GlobalHAB-Agent 到珊瑚版本</w:t>
      </w:r>
    </w:p>
    <w:p>
      <w:pPr>
        <w:jc w:val="both"/>
      </w:pPr>
      <w:r>
        <w:rPr>
          <w:b w:val="0"/>
        </w:rPr>
        <w:t xml:space="preserve">已核查原仓库的 </w:t>
      </w:r>
      <w:r>
        <w:rPr>
          <w:b w:val="0"/>
        </w:rPr>
        <w:t>agent.py</w:t>
      </w:r>
      <w:r>
        <w:rPr>
          <w:b w:val="0"/>
        </w:rPr>
        <w:t>、</w:t>
      </w:r>
      <w:r>
        <w:rPr>
          <w:b w:val="0"/>
        </w:rPr>
        <w:t>scientific_agent.py</w:t>
      </w:r>
      <w:r>
        <w:rPr>
          <w:b w:val="0"/>
        </w:rPr>
        <w:t>、</w:t>
      </w:r>
      <w:r>
        <w:rPr>
          <w:b w:val="0"/>
        </w:rPr>
        <w:t>platform_models.py</w:t>
      </w:r>
      <w:r>
        <w:rPr>
          <w:b w:val="0"/>
        </w:rPr>
        <w:t xml:space="preserve"> 和 </w:t>
      </w:r>
      <w:r>
        <w:rPr>
          <w:b w:val="0"/>
        </w:rPr>
        <w:t>real_training/remote_qwen.py</w:t>
      </w:r>
      <w:r>
        <w:rPr>
          <w:b w:val="0"/>
        </w:rPr>
        <w:t>。前两者分别提供启发式与语言模型工具规划参考；后两者提供模型目录及 Chat Completions 调用方式。[6] 珊瑚版本复用其服务端密钥、连接检查、可见最终回答读取、非思考参数和失败显式呈现的约定；兼容 platform_models、qwen、modelscope 配置及 HAB_QWEN 环境变量。数值模型与界面改写为浏览器模块，服务适配层使用 Node.js。原仓库许可证声明随工程保留，迁移说明记录对应模块与变化。</w:t>
      </w:r>
    </w:p>
    <w:p>
      <w:pPr>
        <w:jc w:val="both"/>
      </w:pPr>
      <w:r>
        <w:rPr>
          <w:b w:val="0"/>
        </w:rPr>
        <w:t>迁移时重新定义四项内容：以白化调查替代藻种/毒素终点；以热压力和生态背景替代 HAB 的营养/水华目标；以环境先行信号替代“白化本身传播”的解释；以调查、复查和随访优先级替代养殖处置建议。原项目中的真实藻华结果、速度比较和经济收益不会成为珊瑚任务的证据。</w:t>
      </w:r>
    </w:p>
    <w:p>
      <w:pPr>
        <w:jc w:val="both"/>
      </w:pPr>
      <w:r>
        <w:t>下一阶段先完成一个区域的标签和变量审计，确认是否能够匹配白化观测、局地热暴露及氮形态；原始数据的可访问性与再使用许可单独核查。同时完成服务端远程大模型闭环及成本记录。固定预测目标、比较样本和评价协议后，将合成候选迁移至具备观测的数据子集，再加入强基线、独立校准和区域外验证。随后统一搜索策略的总实验预算，并对稳定的方向或交互关系安排独立过程核查。只有具备重复随访后，才新增持续、恢复与死亡任务。</w:t>
      </w:r>
    </w:p>
    <w:p>
      <w:pPr>
        <w:jc w:val="both"/>
      </w:pPr>
      <w:r>
        <w:rPr>
          <w:b w:val="0"/>
        </w:rPr>
        <w:t>开源交付包括网页、数据生成器、模型与指标、实验策略、测试、默认及多种子运行记录、输入模板、来源与许可说明、部署工作流和本科学问题定义。仓库不需要 API 密钥即可运行。真实数据接入将按各来源许可单独管理；受限原始数据仅记录获取方式，不随演示工程分发。</w:t>
      </w:r>
    </w:p>
    <w:p>
      <w:pPr>
        <w:pStyle w:val="Heading1"/>
        <w:jc w:val="left"/>
      </w:pPr>
      <w:r>
        <w:rPr>
          <w:b w:val="0"/>
          <w:color w:val="000000"/>
          <w:u w:val="none"/>
        </w:rPr>
        <w:t>参考资料</w:t>
      </w:r>
    </w:p>
    <w:p>
      <w:pPr>
        <w:spacing w:line="264" w:lineRule="auto" w:after="120"/>
        <w:jc w:val="left"/>
      </w:pPr>
      <w:r>
        <w:rPr>
          <w:b w:val="0"/>
          <w:sz w:val="18"/>
        </w:rPr>
        <w:t>[1] NOAA National Ocean Service. What is coral bleaching? https://oceanservice.noaa.gov/facts/coral_bleach.html 。用于白化与死亡/恢复的概念区分。</w:t>
      </w:r>
    </w:p>
    <w:p>
      <w:pPr>
        <w:spacing w:line="264" w:lineRule="auto" w:after="120"/>
        <w:jc w:val="left"/>
      </w:pPr>
      <w:r>
        <w:rPr>
          <w:b w:val="0"/>
          <w:sz w:val="18"/>
        </w:rPr>
        <w:t>[2] NOAA Coral Reef Watch. Daily Global 5 km Satellite Coral Bleaching Heat Stress Degree Heating Week, Version 3.1. https://coralreefwatch.noaa.gov/product/5km/index_5km_dhw.php 。用于 DHW 的环境暴露属性与产品入口。</w:t>
      </w:r>
    </w:p>
    <w:p>
      <w:pPr>
        <w:spacing w:line="264" w:lineRule="auto" w:after="120"/>
        <w:jc w:val="left"/>
      </w:pPr>
      <w:r>
        <w:rPr>
          <w:b w:val="0"/>
          <w:sz w:val="18"/>
        </w:rPr>
        <w:t>[3] Sully, S., Burkepile, D. E., Donovan, M. K., Hodgson, G. &amp; van Woesik, R. A global analysis of coral bleaching over the past two decades. Nature Communications 10, 1264 (2019). https://doi.org/10.1038/s41467-019-09238-2 。用于热暴露与白化响应的空间差异背景。</w:t>
      </w:r>
    </w:p>
    <w:p>
      <w:pPr>
        <w:spacing w:line="264" w:lineRule="auto" w:after="120"/>
        <w:jc w:val="left"/>
      </w:pPr>
      <w:r>
        <w:rPr>
          <w:b w:val="0"/>
          <w:sz w:val="18"/>
        </w:rPr>
        <w:t>[4] van Woesik, R. &amp; Kratochwill, C. A global coral-bleaching database, 1980–2020. Scientific Data 9, 20 (2022). https://doi.org/10.1038/s41597-022-01121-y 。用于真实调查标签和数据库组织。</w:t>
      </w:r>
    </w:p>
    <w:p>
      <w:pPr>
        <w:spacing w:line="264" w:lineRule="auto" w:after="120"/>
        <w:jc w:val="left"/>
      </w:pPr>
      <w:r>
        <w:rPr>
          <w:b w:val="0"/>
          <w:sz w:val="18"/>
        </w:rPr>
        <w:t>[5] van Woesik, R. &amp; Kratochwill, C. A global database on coral recovery following marine heatwaves. Scientific Data 11, 367 (2024). https://doi.org/10.1038/s41597-024-03221-3 。用于恢复研究的独立数据入口。</w:t>
      </w:r>
    </w:p>
    <w:p>
      <w:pPr>
        <w:spacing w:line="264" w:lineRule="auto" w:after="120"/>
        <w:jc w:val="left"/>
      </w:pPr>
      <w:r>
        <w:rPr>
          <w:b w:val="0"/>
          <w:sz w:val="18"/>
        </w:rPr>
        <w:t>[6] Haoliu9427. GlobalHAB-Agent-demo. https://github.com/Haoliu9427/GlobalHAB-Agent-demo 。本版核查 agent.py、scientific_agent.py、platform_models.py、remote_qwen.py、配置指南、DATA_DICTIONARY.md 与 LICENSE；作为工程迁移来源，不作为珊瑚预测性能证据。</w:t>
      </w:r>
    </w:p>
    <w:p>
      <w:pPr>
        <w:spacing w:line="264" w:lineRule="auto" w:after="120"/>
        <w:jc w:val="left"/>
      </w:pPr>
      <w:r>
        <w:rPr>
          <w:b w:val="0"/>
          <w:sz w:val="18"/>
        </w:rPr>
        <w:t>[7] Natural Earth. Terms of Use. https://www.naturalearthdata.com/about/terms-of-use/ 。地图陆地数据为公共领域；展示不含行政边界。地图数据：https://github.com/nvkelso/natural-earth-vector/blob/master/geojson/ne_110m_land.geojson。</w:t>
      </w:r>
    </w:p>
    <w:p>
      <w:pPr>
        <w:widowControl/>
        <w:spacing w:line="264" w:lineRule="auto" w:after="120"/>
        <w:jc w:val="left"/>
      </w:pPr>
      <w:r>
        <w:rPr>
          <w:b w:val="0"/>
          <w:sz w:val="18"/>
        </w:rPr>
        <w:t>[8] Xu, H., et al. Impacts of local anthropogenic stressors outpace those of climate on coral reef collapse in the northern South China Sea. Nature Communications 17, 4136 (2026). https://doi.org/10.1038/s41467-026-70760-1 。用于区域背景与长期活珊瑚覆盖变化；不作为短期白化标签。</w:t>
      </w:r>
    </w:p>
    <w:p>
      <w:pPr>
        <w:widowControl/>
        <w:spacing w:line="264" w:lineRule="auto" w:after="120"/>
        <w:jc w:val="left"/>
      </w:pPr>
      <w:r>
        <w:rPr>
          <w:b w:val="0"/>
          <w:sz w:val="18"/>
        </w:rPr>
        <w:t>[9] Zhang, J., Kang, W., et al. Nitrate Aggravates While Ammonium Mitigates Thermal Bleaching in Corals through Divergent Lipid-Mediated Pathways and Stress Response. Environmental Science &amp; Technology 60, 1699–1712 (2026). https://doi.org/10.1021/acs.est.5c13276 。用于氮形态与热白化交互的实验依据。</w:t>
      </w:r>
    </w:p>
    <w:p>
      <w:pPr>
        <w:widowControl/>
        <w:spacing w:line="264" w:lineRule="auto" w:after="120"/>
        <w:jc w:val="left"/>
      </w:pPr>
      <w:r>
        <w:rPr>
          <w:b w:val="0"/>
          <w:sz w:val="18"/>
        </w:rPr>
        <w:t>[10] Li, Q., et al. Environmental Concentrations of Herbicide Prometryn Increase the Susceptibility of Reef-Building Corals to Nitrate Stress. Environmental Science &amp; Technology 60, 16552–16565 (2026). https://doi.org/10.1021/acs.est.6c06486 。用于扑草净与硝酸盐复合暴露的实验依据。</w:t>
      </w:r>
    </w:p>
    <w:p>
      <w:pPr>
        <w:widowControl/>
        <w:spacing w:line="264" w:lineRule="auto" w:after="120"/>
        <w:jc w:val="left"/>
      </w:pPr>
      <w:r>
        <w:rPr>
          <w:b w:val="0"/>
          <w:sz w:val="18"/>
        </w:rPr>
        <w:t>[11] Liu, H., et al. Marine Heatwaves and Iceberg Melting in Polar Areas Intensify Phytoplankton Blooms. Global Change Biology 31, e70132 (2025). https://doi.org/10.1111/gcb.70132 。用于资源背景与复合暴露分析的前期研究基础。</w:t>
      </w:r>
    </w:p>
    <w:p>
      <w:pPr>
        <w:widowControl/>
        <w:spacing w:line="264" w:lineRule="auto" w:after="120"/>
        <w:jc w:val="left"/>
      </w:pPr>
      <w:r>
        <w:rPr>
          <w:b w:val="0"/>
          <w:sz w:val="18"/>
        </w:rPr>
        <w:t>[12] Liu, H., et al. Anomalies of Net Primary Productivity under Compound Marine Heatwaves and Microplastics. Environmental Science &amp; Technology 60, 23294–23305 (2026). https://doi.org/10.1021/acs.est.6c02934 。用于背景依赖与暴露响应空间错位的前期研究基础。</w:t>
      </w:r>
    </w:p>
    <w:p>
      <w:pPr>
        <w:widowControl/>
        <w:spacing w:line="264" w:lineRule="auto" w:after="120"/>
        <w:jc w:val="left"/>
      </w:pPr>
      <w:r>
        <w:rPr>
          <w:b w:val="0"/>
          <w:sz w:val="18"/>
        </w:rPr>
        <w:t>[13] Liu, H., et al. Global Characterization of Sea Turtle Ecological Traps under Compound Marine Heatwaves and Microplastics. Environmental Science &amp; Technology 60, 17888–17899 (2026). https://doi.org/10.1021/acs.est.6c02104 。用于表观状态与生态后果区分的前期研究基础。</w:t>
      </w:r>
    </w:p>
    <w:p>
      <w:pPr>
        <w:widowControl/>
        <w:spacing w:line="264" w:lineRule="auto" w:after="120"/>
        <w:jc w:val="left"/>
      </w:pPr>
      <w:r>
        <w:rPr>
          <w:b w:val="0"/>
          <w:sz w:val="18"/>
        </w:rPr>
        <w:t>[14] Li, Z., Liu, H., Dong, X. &amp; Hu, X. Decreases in South Pacific and South Atlantic sea-air CO₂ fluxes caused by extreme precipitation. Nature Communications 17, 3011 (2026). https://doi.org/10.1038/s41467-026-69847-6 。项目提出者为第二作者；用于遗漏环境因子与判断偏差的前期研究基础。</w:t>
      </w:r>
    </w:p>
    <w:p>
      <w:pPr>
        <w:widowControl/>
        <w:spacing w:line="264" w:lineRule="auto" w:after="120"/>
        <w:jc w:val="left"/>
      </w:pPr>
      <w:r>
        <w:rPr>
          <w:b w:val="0"/>
          <w:sz w:val="18"/>
        </w:rPr>
        <w:t>[15] Allen Coral Atlas. Science &amp; Methods. https://allencoralatlas.org/methods/ 。用于礁区范围、栖息地制图尺度与覆盖边界。地图入口：https://www.allencoralatlas.org/atlas/ 。</w:t>
      </w:r>
    </w:p>
    <w:p>
      <w:pPr>
        <w:widowControl/>
        <w:spacing w:line="264" w:lineRule="auto" w:after="120"/>
        <w:jc w:val="left"/>
      </w:pPr>
      <w:r>
        <w:rPr>
          <w:b w:val="0"/>
          <w:sz w:val="18"/>
        </w:rPr>
        <w:t>[16] Allen Coral Atlas. Resources and FAQ. https://allencoralatlas.org/resources/ 。用于 coral/algae 类别解释、数据服务、署名与不同产品的许可说明。访问日期为 2026 年 10 月 18 日。</w:t>
      </w:r>
    </w:p>
    <w:sectPr w:rsidR="00FC693F" w:rsidRPr="0006063C" w:rsidSect="00034616">
      <w:headerReference w:type="default" r:id="rId9"/>
      <w:footerReference w:type="default" r:id="rId10"/>
      <w:pgSz w:w="11906" w:h="16838"/>
      <w:pgMar w:top="1134" w:right="1247" w:bottom="1077" w:left="124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修订说明" w:initials="R" w:date="2026-10-18T09:15:06Z">
    <w:p>
      <w:pPr>
        <w:pStyle w:val="CommentText"/>
      </w:pPr>
      <w:r>
        <w:rPr>
          <w:rStyle w:val="CommentReference"/>
        </w:rPr>
        <w:annotationRef/>
      </w:r>
      <w:r>
        <w:t>本段引入珊瑚野外研究，并保留活珊瑚覆盖与短期白化的终点区别。所供材料中的卷号和文章号已按出版信息校正为 17, 4136。</w:t>
      </w:r>
    </w:p>
  </w:comment>
  <w:comment w:id="1" w:author="修订说明" w:initials="R" w:date="2026-10-18T09:15:06Z">
    <w:p>
      <w:pPr>
        <w:pStyle w:val="CommentText"/>
      </w:pPr>
      <w:r>
        <w:rPr>
          <w:rStyle w:val="CommentReference"/>
        </w:rPr>
        <w:annotationRef/>
      </w:r>
      <w:r>
        <w:t>四篇论文用于说明前期研究积累和迁移思路。所供三项珊瑚研究暂按外部依据引用，避免未经确认将其署名或数据归属写入项目成果。</w:t>
      </w:r>
    </w:p>
  </w:comment>
  <w:comment w:id="2" w:author="修订说明" w:initials="R" w:date="2026-10-18T09:15:06Z">
    <w:p>
      <w:pPr>
        <w:pStyle w:val="CommentText"/>
      </w:pPr>
      <w:r>
        <w:rPr>
          <w:rStyle w:val="CommentReference"/>
        </w:rPr>
        <w:annotationRef/>
      </w:r>
      <w:r>
        <w:t>本次为研究定义修订；网站、模型池及原合成运行分数未改动。</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研究定义 v1.1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CORALBLEACH-AGENT   /   SCIENTIFIC PROBLEM DEFINITION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40"/>
    </w:pPr>
    <w:rPr>
      <w:rFonts w:ascii="Microsoft YaHei" w:hAnsi="Microsoft YaHei" w:eastAsia="Microsoft YaHei"/>
      <w:color w:val="243F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Microsoft YaHei" w:hAnsi="Microsoft YaHei" w:eastAsia="Microsoft YaHei"/>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Microsoft YaHei" w:hAnsi="Microsoft YaHei" w:eastAsia="Microsoft YaHe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Theme="majorHAnsi" w:eastAsiaTheme="majorEastAsia" w:hAnsiTheme="majorHAnsi" w:cstheme="majorBidi" w:ascii="Microsoft YaHei" w:hAnsi="Microsoft YaHei" w:eastAsia="Microsoft YaHei"/>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YaHei" w:hAnsi="Microsoft YaHei" w:eastAsia="Microsoft YaHe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CoralBleach-Agent 科学问题定义 研究基础整合版</dc:title>
  <dc:subject>氮形态与陆源共污染条件下的珊瑚白化预测预警</dc:subject>
  <dc:creator>CoralBleach-Agent</dc:creator>
  <cp:keywords>coral bleaching, synthetic demo, scientific agent</cp:keywords>
  <dc:description>版本 1.1；整合七篇研究；保留原 Demo 结果与研究边界。</dc:description>
  <cp:lastModifiedBy/>
  <cp:revision>1</cp:revision>
  <dcterms:created xsi:type="dcterms:W3CDTF">2013-12-23T23:15:00Z</dcterms:created>
  <dcterms:modified xsi:type="dcterms:W3CDTF">2013-12-23T23:15:00Z</dcterms:modified>
  <cp:category/>
</cp:coreProperties>
</file>