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color w:val="9E0B24"/>
          <w:sz w:val="44"/>
        </w:rPr>
        <w:t>报告标题</w:t>
      </w:r>
    </w:p>
    <w:p>
      <w:pPr>
        <w:jc w:val="center"/>
      </w:pPr>
      <w:r>
        <w:t>报告日期：YYYY-MM-DD    数据截止日：YYYY-MM-DD    版本号：v01</w:t>
      </w:r>
    </w:p>
    <w:p>
      <w:pPr>
        <w:pStyle w:val="Heading1"/>
      </w:pPr>
      <w:r>
        <w:t>一、核心结论</w:t>
      </w:r>
    </w:p>
    <w:p>
      <w:r>
        <w:t>先写最终判断，再写证据强度、适用条件和限制。</w:t>
      </w:r>
    </w:p>
    <w:p>
      <w:r>
        <w:rPr>
          <w:b/>
        </w:rPr>
        <w:t>表1 指标汇总表模板</w:t>
      </w:r>
    </w:p>
    <w:tbl>
      <w:tblPr>
        <w:tblStyle w:val="ThreeLineTable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t>策略</w:t>
            </w:r>
          </w:p>
        </w:tc>
        <w:tc>
          <w:tcPr>
            <w:tcW w:type="dxa" w:w="1176"/>
          </w:tcPr>
          <w:p>
            <w:r>
              <w:t>期末净值</w:t>
            </w:r>
          </w:p>
        </w:tc>
        <w:tc>
          <w:tcPr>
            <w:tcW w:type="dxa" w:w="1176"/>
          </w:tcPr>
          <w:p>
            <w:r>
              <w:t>年化收益</w:t>
            </w:r>
          </w:p>
        </w:tc>
        <w:tc>
          <w:tcPr>
            <w:tcW w:type="dxa" w:w="1176"/>
          </w:tcPr>
          <w:p>
            <w:r>
              <w:t>年化波动</w:t>
            </w:r>
          </w:p>
        </w:tc>
        <w:tc>
          <w:tcPr>
            <w:tcW w:type="dxa" w:w="1176"/>
          </w:tcPr>
          <w:p>
            <w:r>
              <w:t>最大回撤</w:t>
            </w:r>
          </w:p>
        </w:tc>
        <w:tc>
          <w:tcPr>
            <w:tcW w:type="dxa" w:w="1176"/>
          </w:tcPr>
          <w:p>
            <w:r>
              <w:t>夏普</w:t>
            </w:r>
          </w:p>
        </w:tc>
        <w:tc>
          <w:tcPr>
            <w:tcW w:type="dxa" w:w="1176"/>
          </w:tcPr>
          <w:p>
            <w:r>
              <w:t>卡玛</w:t>
            </w:r>
          </w:p>
        </w:tc>
        <w:tc>
          <w:tcPr>
            <w:tcW w:type="dxa" w:w="1176"/>
          </w:tcPr>
          <w:p>
            <w:r>
              <w:t>换手</w:t>
            </w:r>
          </w:p>
        </w:tc>
      </w:tr>
      <w:tr>
        <w:tc>
          <w:tcPr>
            <w:tcW w:type="dxa" w:w="1176"/>
          </w:tcPr>
          <w:p>
            <w:r>
              <w:t>策略组合</w:t>
            </w:r>
          </w:p>
        </w:tc>
        <w:tc>
          <w:tcPr>
            <w:tcW w:type="dxa" w:w="1176"/>
          </w:tcPr>
          <w:p>
            <w:r>
              <w:t>1.000</w:t>
            </w:r>
          </w:p>
        </w:tc>
        <w:tc>
          <w:tcPr>
            <w:tcW w:type="dxa" w:w="1176"/>
          </w:tcPr>
          <w:p>
            <w:r>
              <w:t>0.0%</w:t>
            </w:r>
          </w:p>
        </w:tc>
        <w:tc>
          <w:tcPr>
            <w:tcW w:type="dxa" w:w="1176"/>
          </w:tcPr>
          <w:p>
            <w:r>
              <w:t>0.0%</w:t>
            </w:r>
          </w:p>
        </w:tc>
        <w:tc>
          <w:tcPr>
            <w:tcW w:type="dxa" w:w="1176"/>
          </w:tcPr>
          <w:p>
            <w:r>
              <w:t>0.0%</w:t>
            </w:r>
          </w:p>
        </w:tc>
        <w:tc>
          <w:tcPr>
            <w:tcW w:type="dxa" w:w="1176"/>
          </w:tcPr>
          <w:p>
            <w:r>
              <w:t>0.00</w:t>
            </w:r>
          </w:p>
        </w:tc>
        <w:tc>
          <w:tcPr>
            <w:tcW w:type="dxa" w:w="1176"/>
          </w:tcPr>
          <w:p>
            <w:r>
              <w:t>0.00</w:t>
            </w:r>
          </w:p>
        </w:tc>
        <w:tc>
          <w:tcPr>
            <w:tcW w:type="dxa" w:w="1176"/>
          </w:tcPr>
          <w:p>
            <w:r>
              <w:t>0.00</w:t>
            </w:r>
          </w:p>
        </w:tc>
      </w:tr>
      <w:tr>
        <w:tc>
          <w:tcPr>
            <w:tcW w:type="dxa" w:w="1176"/>
          </w:tcPr>
          <w:p>
            <w:r>
              <w:t>基准组合</w:t>
            </w:r>
          </w:p>
        </w:tc>
        <w:tc>
          <w:tcPr>
            <w:tcW w:type="dxa" w:w="1176"/>
          </w:tcPr>
          <w:p>
            <w:r>
              <w:t>1.000</w:t>
            </w:r>
          </w:p>
        </w:tc>
        <w:tc>
          <w:tcPr>
            <w:tcW w:type="dxa" w:w="1176"/>
          </w:tcPr>
          <w:p>
            <w:r>
              <w:t>0.0%</w:t>
            </w:r>
          </w:p>
        </w:tc>
        <w:tc>
          <w:tcPr>
            <w:tcW w:type="dxa" w:w="1176"/>
          </w:tcPr>
          <w:p>
            <w:r>
              <w:t>0.0%</w:t>
            </w:r>
          </w:p>
        </w:tc>
        <w:tc>
          <w:tcPr>
            <w:tcW w:type="dxa" w:w="1176"/>
          </w:tcPr>
          <w:p>
            <w:r>
              <w:t>0.0%</w:t>
            </w:r>
          </w:p>
        </w:tc>
        <w:tc>
          <w:tcPr>
            <w:tcW w:type="dxa" w:w="1176"/>
          </w:tcPr>
          <w:p>
            <w:r>
              <w:t>0.00</w:t>
            </w:r>
          </w:p>
        </w:tc>
        <w:tc>
          <w:tcPr>
            <w:tcW w:type="dxa" w:w="1176"/>
          </w:tcPr>
          <w:p>
            <w:r>
              <w:t>0.00</w:t>
            </w:r>
          </w:p>
        </w:tc>
        <w:tc>
          <w:tcPr>
            <w:tcW w:type="dxa" w:w="1176"/>
          </w:tcPr>
          <w:p>
            <w:r>
              <w:t>0.00</w:t>
            </w:r>
          </w:p>
        </w:tc>
      </w:tr>
    </w:tbl>
    <w:p>
      <w:r>
        <w:t>表注：替换为当前项目口径、单位、样本区间和数据来源。</w:t>
      </w:r>
    </w:p>
    <w:p>
      <w:r>
        <w:rPr>
          <w:b/>
        </w:rPr>
        <w:t>表2 参数表模板</w:t>
      </w:r>
    </w:p>
    <w:tbl>
      <w:tblPr>
        <w:tblStyle w:val="ThreeLineTable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t>环节</w:t>
            </w:r>
          </w:p>
        </w:tc>
        <w:tc>
          <w:tcPr>
            <w:tcW w:type="dxa" w:w="1176"/>
          </w:tcPr>
          <w:p>
            <w:r>
              <w:t>参数</w:t>
            </w:r>
          </w:p>
        </w:tc>
        <w:tc>
          <w:tcPr>
            <w:tcW w:type="dxa" w:w="1176"/>
          </w:tcPr>
          <w:p>
            <w:r>
              <w:t>当前值</w:t>
            </w:r>
          </w:p>
        </w:tc>
        <w:tc>
          <w:tcPr>
            <w:tcW w:type="dxa" w:w="1176"/>
          </w:tcPr>
          <w:p>
            <w:r>
              <w:t>默认值</w:t>
            </w:r>
          </w:p>
        </w:tc>
        <w:tc>
          <w:tcPr>
            <w:tcW w:type="dxa" w:w="1176"/>
          </w:tcPr>
          <w:p>
            <w:r>
              <w:t>允许范围</w:t>
            </w:r>
          </w:p>
        </w:tc>
        <w:tc>
          <w:tcPr>
            <w:tcW w:type="dxa" w:w="1176"/>
          </w:tcPr>
          <w:p>
            <w:r>
              <w:t>单位</w:t>
            </w:r>
          </w:p>
        </w:tc>
        <w:tc>
          <w:tcPr>
            <w:tcW w:type="dxa" w:w="1176"/>
          </w:tcPr>
          <w:p>
            <w:r>
              <w:t>进入位置</w:t>
            </w:r>
          </w:p>
        </w:tc>
        <w:tc>
          <w:tcPr>
            <w:tcW w:type="dxa" w:w="1176"/>
          </w:tcPr>
          <w:p>
            <w:r>
              <w:t>说明</w:t>
            </w:r>
          </w:p>
        </w:tc>
      </w:tr>
      <w:tr>
        <w:tc>
          <w:tcPr>
            <w:tcW w:type="dxa" w:w="1176"/>
          </w:tcPr>
          <w:p>
            <w:r>
              <w:t>执行</w:t>
            </w:r>
          </w:p>
        </w:tc>
        <w:tc>
          <w:tcPr>
            <w:tcW w:type="dxa" w:w="1176"/>
          </w:tcPr>
          <w:p>
            <w:r>
              <w:t>交易成本</w:t>
            </w:r>
          </w:p>
        </w:tc>
        <w:tc>
          <w:tcPr>
            <w:tcW w:type="dxa" w:w="1176"/>
          </w:tcPr>
          <w:p>
            <w:r>
              <w:t>待填</w:t>
            </w:r>
          </w:p>
        </w:tc>
        <w:tc>
          <w:tcPr>
            <w:tcW w:type="dxa" w:w="1176"/>
          </w:tcPr>
          <w:p>
            <w:r>
              <w:t>待填</w:t>
            </w:r>
          </w:p>
        </w:tc>
        <w:tc>
          <w:tcPr>
            <w:tcW w:type="dxa" w:w="1176"/>
          </w:tcPr>
          <w:p>
            <w:r>
              <w:t>待填</w:t>
            </w:r>
          </w:p>
        </w:tc>
        <w:tc>
          <w:tcPr>
            <w:tcW w:type="dxa" w:w="1176"/>
          </w:tcPr>
          <w:p>
            <w:r>
              <w:t>bp</w:t>
            </w:r>
          </w:p>
        </w:tc>
        <w:tc>
          <w:tcPr>
            <w:tcW w:type="dxa" w:w="1176"/>
          </w:tcPr>
          <w:p>
            <w:r>
              <w:t>组合收益</w:t>
            </w:r>
          </w:p>
        </w:tc>
        <w:tc>
          <w:tcPr>
            <w:tcW w:type="dxa" w:w="1176"/>
          </w:tcPr>
          <w:p>
            <w:r>
              <w:t>写清计算口径。</w:t>
            </w:r>
          </w:p>
        </w:tc>
      </w:tr>
      <w:tr>
        <w:tc>
          <w:tcPr>
            <w:tcW w:type="dxa" w:w="1176"/>
          </w:tcPr>
          <w:p>
            <w:r>
              <w:t>信号</w:t>
            </w:r>
          </w:p>
        </w:tc>
        <w:tc>
          <w:tcPr>
            <w:tcW w:type="dxa" w:w="1176"/>
          </w:tcPr>
          <w:p>
            <w:r>
              <w:t>窗口长度</w:t>
            </w:r>
          </w:p>
        </w:tc>
        <w:tc>
          <w:tcPr>
            <w:tcW w:type="dxa" w:w="1176"/>
          </w:tcPr>
          <w:p>
            <w:r>
              <w:t>待填</w:t>
            </w:r>
          </w:p>
        </w:tc>
        <w:tc>
          <w:tcPr>
            <w:tcW w:type="dxa" w:w="1176"/>
          </w:tcPr>
          <w:p>
            <w:r>
              <w:t>待填</w:t>
            </w:r>
          </w:p>
        </w:tc>
        <w:tc>
          <w:tcPr>
            <w:tcW w:type="dxa" w:w="1176"/>
          </w:tcPr>
          <w:p>
            <w:r>
              <w:t>待填</w:t>
            </w:r>
          </w:p>
        </w:tc>
        <w:tc>
          <w:tcPr>
            <w:tcW w:type="dxa" w:w="1176"/>
          </w:tcPr>
          <w:p>
            <w:r>
              <w:t>日</w:t>
            </w:r>
          </w:p>
        </w:tc>
        <w:tc>
          <w:tcPr>
            <w:tcW w:type="dxa" w:w="1176"/>
          </w:tcPr>
          <w:p>
            <w:r>
              <w:t>信号计算</w:t>
            </w:r>
          </w:p>
        </w:tc>
        <w:tc>
          <w:tcPr>
            <w:tcW w:type="dxa" w:w="1176"/>
          </w:tcPr>
          <w:p>
            <w:r>
              <w:t>写清频率。</w:t>
            </w:r>
          </w:p>
        </w:tc>
      </w:tr>
    </w:tbl>
    <w:p>
      <w:r>
        <w:t>表注：替换为当前项目口径、单位、样本区间和数据来源。</w:t>
      </w:r>
    </w:p>
    <w:p>
      <w:r>
        <w:rPr>
          <w:b/>
        </w:rPr>
        <w:t>表3 长文本对比表模板</w:t>
      </w:r>
    </w:p>
    <w:tbl>
      <w:tblPr>
        <w:tblStyle w:val="ThreeLineTable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项目</w:t>
            </w:r>
          </w:p>
        </w:tc>
        <w:tc>
          <w:tcPr>
            <w:tcW w:type="dxa" w:w="2351"/>
          </w:tcPr>
          <w:p>
            <w:r>
              <w:t>判断</w:t>
            </w:r>
          </w:p>
        </w:tc>
        <w:tc>
          <w:tcPr>
            <w:tcW w:type="dxa" w:w="2351"/>
          </w:tcPr>
          <w:p>
            <w:r>
              <w:t>证据</w:t>
            </w:r>
          </w:p>
        </w:tc>
        <w:tc>
          <w:tcPr>
            <w:tcW w:type="dxa" w:w="2351"/>
          </w:tcPr>
          <w:p>
            <w:r>
              <w:t>处理</w:t>
            </w:r>
          </w:p>
        </w:tc>
      </w:tr>
      <w:tr>
        <w:tc>
          <w:tcPr>
            <w:tcW w:type="dxa" w:w="2351"/>
          </w:tcPr>
          <w:p>
            <w:r>
              <w:t>差异来源</w:t>
            </w:r>
          </w:p>
        </w:tc>
        <w:tc>
          <w:tcPr>
            <w:tcW w:type="dxa" w:w="2351"/>
          </w:tcPr>
          <w:p>
            <w:r>
              <w:t>写清口径差异。</w:t>
            </w:r>
          </w:p>
        </w:tc>
        <w:tc>
          <w:tcPr>
            <w:tcW w:type="dxa" w:w="2351"/>
          </w:tcPr>
          <w:p>
            <w:r>
              <w:t>列出数据、参数或执行证据。</w:t>
            </w:r>
          </w:p>
        </w:tc>
        <w:tc>
          <w:tcPr>
            <w:tcW w:type="dxa" w:w="2351"/>
          </w:tcPr>
          <w:p>
            <w:r>
              <w:t>保留或修正</w:t>
            </w:r>
          </w:p>
        </w:tc>
      </w:tr>
      <w:tr>
        <w:tc>
          <w:tcPr>
            <w:tcW w:type="dxa" w:w="2351"/>
          </w:tcPr>
          <w:p>
            <w:r>
              <w:t>风险边界</w:t>
            </w:r>
          </w:p>
        </w:tc>
        <w:tc>
          <w:tcPr>
            <w:tcW w:type="dxa" w:w="2351"/>
          </w:tcPr>
          <w:p>
            <w:r>
              <w:t>说明失效情景。</w:t>
            </w:r>
          </w:p>
        </w:tc>
        <w:tc>
          <w:tcPr>
            <w:tcW w:type="dxa" w:w="2351"/>
          </w:tcPr>
          <w:p>
            <w:r>
              <w:t>对应可观测指标。</w:t>
            </w:r>
          </w:p>
        </w:tc>
        <w:tc>
          <w:tcPr>
            <w:tcW w:type="dxa" w:w="2351"/>
          </w:tcPr>
          <w:p>
            <w:r>
              <w:t>监控</w:t>
            </w:r>
          </w:p>
        </w:tc>
      </w:tr>
    </w:tbl>
    <w:p>
      <w:r>
        <w:t>表注：替换为当前项目口径、单位、样本区间和数据来源。</w:t>
      </w:r>
    </w:p>
    <w:p>
      <w:pPr>
        <w:pStyle w:val="Heading1"/>
      </w:pPr>
      <w:r>
        <w:t>二、图表模板</w:t>
      </w:r>
    </w:p>
    <w:p>
      <w:r>
        <w:rPr>
          <w:b/>
        </w:rPr>
        <w:t>图1 累计净值图</w:t>
      </w:r>
    </w:p>
    <w:p>
      <w:r>
        <w:t>单栏图宽14.5厘米，高7到8厘米。图前写口径，图后写1到2句结论。</w:t>
      </w:r>
    </w:p>
    <w:p>
      <w:r>
        <w:rPr>
          <w:b/>
        </w:rPr>
        <w:t>图2 回撤路径图</w:t>
      </w:r>
    </w:p>
    <w:p>
      <w:r>
        <w:t>回撤必须用负值，和净值图保持相同样本区间。</w:t>
      </w:r>
    </w:p>
    <w:p>
      <w:r>
        <w:rPr>
          <w:b/>
        </w:rPr>
        <w:t>图3 贡献横向条形图</w:t>
      </w:r>
    </w:p>
    <w:p>
      <w:r>
        <w:t>长名称类别用横向条形图，按贡献或改善幅度排序。</w:t>
      </w:r>
    </w:p>
    <w:p>
      <w:r>
        <w:rPr>
          <w:b/>
        </w:rPr>
        <w:t>图4 敏感性热力图</w:t>
      </w:r>
    </w:p>
    <w:p>
      <w:r>
        <w:t>色阶不超过5档，必须写清基准参数和单元格指标。</w:t>
      </w:r>
    </w:p>
    <w:p>
      <w:pPr>
        <w:pStyle w:val="Heading1"/>
      </w:pPr>
      <w:r>
        <w:t>三、验收清单</w:t>
      </w:r>
    </w:p>
    <w:p>
      <w:r>
        <w:rPr>
          <w:b/>
        </w:rPr>
        <w:t>表4 Word模板验收表</w:t>
      </w:r>
    </w:p>
    <w:tbl>
      <w:tblPr>
        <w:tblStyle w:val="ThreeLineTable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检查项</w:t>
            </w:r>
          </w:p>
        </w:tc>
        <w:tc>
          <w:tcPr>
            <w:tcW w:type="dxa" w:w="3135"/>
          </w:tcPr>
          <w:p>
            <w:r>
              <w:t>要求</w:t>
            </w:r>
          </w:p>
        </w:tc>
        <w:tc>
          <w:tcPr>
            <w:tcW w:type="dxa" w:w="3135"/>
          </w:tcPr>
          <w:p>
            <w:r>
              <w:t>状态</w:t>
            </w:r>
          </w:p>
        </w:tc>
      </w:tr>
      <w:tr>
        <w:tc>
          <w:tcPr>
            <w:tcW w:type="dxa" w:w="3135"/>
          </w:tcPr>
          <w:p>
            <w:r>
              <w:t>图表</w:t>
            </w:r>
          </w:p>
        </w:tc>
        <w:tc>
          <w:tcPr>
            <w:tcW w:type="dxa" w:w="3135"/>
          </w:tcPr>
          <w:p>
            <w:r>
              <w:t>编号、标题、单位、来源和样本区间齐全。</w:t>
            </w:r>
          </w:p>
        </w:tc>
        <w:tc>
          <w:tcPr>
            <w:tcW w:type="dxa" w:w="3135"/>
          </w:tcPr>
          <w:p>
            <w:r>
              <w:t>待检查</w:t>
            </w:r>
          </w:p>
        </w:tc>
      </w:tr>
      <w:tr>
        <w:tc>
          <w:tcPr>
            <w:tcW w:type="dxa" w:w="3135"/>
          </w:tcPr>
          <w:p>
            <w:r>
              <w:t>表格</w:t>
            </w:r>
          </w:p>
        </w:tc>
        <w:tc>
          <w:tcPr>
            <w:tcW w:type="dxa" w:w="3135"/>
          </w:tcPr>
          <w:p>
            <w:r>
              <w:t>表题表注、小数位、跨页表头一致。</w:t>
            </w:r>
          </w:p>
        </w:tc>
        <w:tc>
          <w:tcPr>
            <w:tcW w:type="dxa" w:w="3135"/>
          </w:tcPr>
          <w:p>
            <w:r>
              <w:t>待检查</w:t>
            </w:r>
          </w:p>
        </w:tc>
      </w:tr>
      <w:tr>
        <w:tc>
          <w:tcPr>
            <w:tcW w:type="dxa" w:w="3135"/>
          </w:tcPr>
          <w:p>
            <w:r>
              <w:t>公式</w:t>
            </w:r>
          </w:p>
        </w:tc>
        <w:tc>
          <w:tcPr>
            <w:tcW w:type="dxa" w:w="3135"/>
          </w:tcPr>
          <w:p>
            <w:r>
              <w:t>使用可编辑数学对象。</w:t>
            </w:r>
          </w:p>
        </w:tc>
        <w:tc>
          <w:tcPr>
            <w:tcW w:type="dxa" w:w="3135"/>
          </w:tcPr>
          <w:p>
            <w:r>
              <w:t>待检查</w:t>
            </w:r>
          </w:p>
        </w:tc>
      </w:tr>
    </w:tbl>
    <w:p>
      <w:r>
        <w:t>表注：替换为当前项目口径、单位、样本区间和数据来源。</w:t>
      </w:r>
    </w:p>
    <w:sectPr w:rsidR="00FC693F" w:rsidRPr="0006063C" w:rsidSect="00034616">
      <w:pgSz w:w="12240" w:h="15840"/>
      <w:pgMar w:top="1417" w:right="124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New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New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宋体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Arial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TimesNewRoma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Aria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9E0B2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9E0B2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9E0B2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rPr>
      <w:rFonts w:ascii="TimesNewRoman" w:eastAsia="宋体" w:hAnsi="TimesNewRoman"/>
      <w:sz w:val="21"/>
    </w:rPr>
    <w:tblPr>
      <w:tblBorders>
        <w:top w:val="single" w:sz="12" w:space="0" w:color="000000"/>
        <w:bottom w:val="single" w:sz="12" w:space="0" w:color="000000"/>
      </w:tblBorders>
      <w:tblCellMar>
        <w:top w:w="60" w:type="dxa"/>
        <w:bottom w:w="60" w:type="dxa"/>
        <w:left w:w="108" w:type="dxa"/>
        <w:right w:w="108" w:type="dxa"/>
      </w:tblCellMar>
    </w:tblPr>
    <w:tblStylePr w:type="firstRow">
      <w:rPr>
        <w:b/>
      </w:rPr>
      <w:tcPr>
        <w:shd w:val="clear" w:color="auto" w:fill="auto"/>
        <w:tcBorders>
          <w:bottom w:val="single" w:sz="6" w:space="0" w:color="000000"/>
        </w:tcBorders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1E1B18"/>
      </a:dk1>
      <a:lt1>
        <a:srgbClr val="FFFFFF"/>
      </a:lt1>
      <a:dk2>
        <a:srgbClr val="174A7C"/>
      </a:dk2>
      <a:lt2>
        <a:srgbClr val="FBF8F3"/>
      </a:lt2>
      <a:accent1>
        <a:srgbClr val="C8102E"/>
      </a:accent1>
      <a:accent2>
        <a:srgbClr val="2A6FB0"/>
      </a:accent2>
      <a:accent3>
        <a:srgbClr val="D99A2B"/>
      </a:accent3>
      <a:accent4>
        <a:srgbClr val="1F8A5B"/>
      </a:accent4>
      <a:accent5>
        <a:srgbClr val="6B2E8A"/>
      </a:accent5>
      <a:accent6>
        <a:srgbClr val="B4A897"/>
      </a:accent6>
      <a:hlink>
        <a:srgbClr val="2A6FB0"/>
      </a:hlink>
      <a:folHlink>
        <a:srgbClr val="6B2E8A"/>
      </a:folHlink>
    </a:clrScheme>
    <a:fontScheme name="Office">
      <a:majorFont>
        <a:latin typeface="Arial"/>
        <a:ea typeface=""/>
        <a:cs typeface=""/>
        <a:font script="Jpan" typeface="宋体"/>
        <a:font script="Hang" typeface="宋体"/>
        <a:font script="Hans" typeface="宋体"/>
        <a:font script="Hant" typeface="宋体"/>
        <a:font script="Arab" typeface="TimesNewRoman"/>
        <a:font script="Hebr" typeface="TimesNewRoman"/>
        <a:font script="Thai" typeface="TimesNewRoman"/>
        <a:font script="Ethi" typeface="TimesNewRoman"/>
        <a:font script="Beng" typeface="TimesNewRoman"/>
        <a:font script="Gujr" typeface="TimesNewRoman"/>
        <a:font script="Khmr" typeface="TimesNewRoman"/>
        <a:font script="Knda" typeface="TimesNewRoman"/>
        <a:font script="Guru" typeface="TimesNewRoman"/>
        <a:font script="Cans" typeface="TimesNewRoman"/>
        <a:font script="Cher" typeface="TimesNewRoman"/>
        <a:font script="Yiii" typeface="TimesNewRoman"/>
        <a:font script="Tibt" typeface="TimesNewRoman"/>
        <a:font script="Thaa" typeface="TimesNewRoman"/>
        <a:font script="Deva" typeface="TimesNewRoman"/>
        <a:font script="Telu" typeface="TimesNewRoman"/>
        <a:font script="Taml" typeface="TimesNewRoman"/>
        <a:font script="Syrc" typeface="TimesNewRoman"/>
        <a:font script="Orya" typeface="TimesNewRoman"/>
        <a:font script="Mlym" typeface="TimesNewRoman"/>
        <a:font script="Laoo" typeface="TimesNewRoman"/>
        <a:font script="Sinh" typeface="TimesNewRoman"/>
        <a:font script="Mong" typeface="TimesNewRoman"/>
        <a:font script="Viet" typeface="TimesNewRoman"/>
        <a:font script="Uigh" typeface="TimesNewRoman"/>
        <a:font script="Geor" typeface="TimesNewRoman"/>
      </a:majorFont>
      <a:minorFont>
        <a:latin typeface="TimesNewRoman"/>
        <a:ea typeface=""/>
        <a:cs typeface=""/>
        <a:font script="Jpan" typeface="宋体"/>
        <a:font script="Hang" typeface="宋体"/>
        <a:font script="Hans" typeface="宋体"/>
        <a:font script="Hant" typeface="宋体"/>
        <a:font script="Arab" typeface="Arial"/>
        <a:font script="Hebr" typeface="Arial"/>
        <a:font script="Thai" typeface="TimesNewRoman"/>
        <a:font script="Ethi" typeface="TimesNewRoman"/>
        <a:font script="Beng" typeface="TimesNewRoman"/>
        <a:font script="Gujr" typeface="TimesNewRoman"/>
        <a:font script="Khmr" typeface="TimesNewRoman"/>
        <a:font script="Knda" typeface="TimesNewRoman"/>
        <a:font script="Guru" typeface="TimesNewRoman"/>
        <a:font script="Cans" typeface="TimesNewRoman"/>
        <a:font script="Cher" typeface="TimesNewRoman"/>
        <a:font script="Yiii" typeface="TimesNewRoman"/>
        <a:font script="Tibt" typeface="TimesNewRoman"/>
        <a:font script="Thaa" typeface="TimesNewRoman"/>
        <a:font script="Deva" typeface="TimesNewRoman"/>
        <a:font script="Telu" typeface="TimesNewRoman"/>
        <a:font script="Taml" typeface="TimesNewRoman"/>
        <a:font script="Syrc" typeface="TimesNewRoman"/>
        <a:font script="Orya" typeface="TimesNewRoman"/>
        <a:font script="Mlym" typeface="TimesNewRoman"/>
        <a:font script="Laoo" typeface="TimesNewRoman"/>
        <a:font script="Sinh" typeface="TimesNewRoman"/>
        <a:font script="Mong" typeface="TimesNewRoman"/>
        <a:font script="Viet" typeface="Arial"/>
        <a:font script="Uigh" typeface="TimesNewRoman"/>
        <a:font script="Geor" typeface="TimesNew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