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№1710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6640000.00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Гонторенко М.В.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