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2057 от 26.03.2019г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26 марта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135.00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2057)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ПАО "Челябинский цинковый завод"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2057 от 26.03.2019 г. "Продажа Гартцинка", ООО "ООО завод "Лакокраска-Юганец"" с ценой предложения 3 280 000(________________)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"Лакокраска-Юганец""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