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2526 от 11.12.2020г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11 декабря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Выбор подрядной организации по выполнению электромонтажных работ  на предприятиях холдинга ФПК «Инвест»: ГК «Русская кожа», ГК «Точинвест», ГК «Барс», НП «Спортивный клуб «Родной Край» по единичным расценкам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267500.00 руб., шаг ставки 1500.00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2526)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«ТехноРесурс»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264 500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Остромецкая Ю.А.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261 500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2526 от 11.12.2020 г. "Выбор подрядной организации по выполнению электромонтажных работ  на предприятиях холдинга ФПК «Инвест»: ГК «Русская кожа», ГК «Точинвест», ГК «Барс», НП «Спортивный клуб «Родной Край» по единичным расценкам", ООО "ООО «ТехноРесурс»" с ценой предложения 266 000(________________)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ФПК "Инвест"» заключить договор с ООО "ООО «ТехноРесурс»"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